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референтных групп Росстандарта, наиболее заинтересованных в наборах открытых данных Росстандарта</w:t>
      </w:r>
    </w:p>
    <w:p>
      <w:pPr>
        <w:pStyle w:val="Normal"/>
        <w:ind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hanging="0"/>
        <w:rPr>
          <w:b/>
          <w:b/>
          <w:bCs/>
        </w:rPr>
      </w:pPr>
      <w:r>
        <w:rPr>
          <w:b/>
          <w:bCs/>
        </w:rPr>
        <w:t>Перечень референтных групп Росстандарта:</w:t>
      </w:r>
    </w:p>
    <w:p>
      <w:pPr>
        <w:pStyle w:val="ListParagraph"/>
        <w:numPr>
          <w:ilvl w:val="0"/>
          <w:numId w:val="2"/>
        </w:numPr>
        <w:rPr/>
      </w:pPr>
      <w:r>
        <w:rPr/>
        <w:t>Граждане Российской Федерации, заинтересованные в получении информации о деятельности Росстандарта.</w:t>
      </w:r>
    </w:p>
    <w:p>
      <w:pPr>
        <w:pStyle w:val="ListParagraph"/>
        <w:numPr>
          <w:ilvl w:val="0"/>
          <w:numId w:val="2"/>
        </w:numPr>
        <w:rPr/>
      </w:pPr>
      <w:r>
        <w:rPr/>
        <w:t>Студенты и аспиранты профильных учебных заведений.</w:t>
      </w:r>
    </w:p>
    <w:p>
      <w:pPr>
        <w:pStyle w:val="ListParagraph"/>
        <w:numPr>
          <w:ilvl w:val="0"/>
          <w:numId w:val="2"/>
        </w:numPr>
        <w:rPr/>
      </w:pPr>
      <w:r>
        <w:rPr/>
        <w:t>Организации-разработчики нормативных документов по стандартизации.</w:t>
      </w:r>
    </w:p>
    <w:p>
      <w:pPr>
        <w:pStyle w:val="ListParagraph"/>
        <w:numPr>
          <w:ilvl w:val="0"/>
          <w:numId w:val="2"/>
        </w:numPr>
        <w:rPr/>
      </w:pPr>
      <w:r>
        <w:rPr/>
        <w:t>Заинтересованные промышленные и бизнес сообщества.</w:t>
      </w:r>
    </w:p>
    <w:p>
      <w:pPr>
        <w:pStyle w:val="ListParagraph"/>
        <w:numPr>
          <w:ilvl w:val="0"/>
          <w:numId w:val="2"/>
        </w:numPr>
        <w:rPr/>
      </w:pPr>
      <w:r>
        <w:rPr/>
        <w:t>Технические комитеты по стандартизации.</w:t>
      </w:r>
    </w:p>
    <w:p>
      <w:pPr>
        <w:pStyle w:val="ListParagraph"/>
        <w:numPr>
          <w:ilvl w:val="0"/>
          <w:numId w:val="2"/>
        </w:numPr>
        <w:rPr/>
      </w:pPr>
      <w:r>
        <w:rPr/>
        <w:t>Представители средств массовой информации.</w:t>
      </w:r>
    </w:p>
    <w:p>
      <w:pPr>
        <w:pStyle w:val="Normal"/>
        <w:rPr/>
      </w:pPr>
      <w:r>
        <w:rPr/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"/>
        <w:gridCol w:w="4517"/>
        <w:gridCol w:w="4663"/>
      </w:tblGrid>
      <w:tr>
        <w:trPr>
          <w:trHeight w:val="58" w:hRule="atLeast"/>
        </w:trPr>
        <w:tc>
          <w:tcPr>
            <w:tcW w:w="4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5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набора открытых данных</w:t>
            </w:r>
          </w:p>
        </w:tc>
        <w:tc>
          <w:tcPr>
            <w:tcW w:w="46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наиболее заинтересованных референтных групп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территориальных органов и представительств (представителей)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переводов международных стандартов ИСО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Каталог национальных стандартов (библиография)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Каталог межгосударственных стандартов (библиография)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проектов стандартов Международной организации по стандартизации ИСО (библиография)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Международной организации по стандартизации ИСО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Состав Общественного совета при Росстандарте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государственных услуг, оказываемых Росстандартом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нормативно-правовых актов, регулирующих деятельность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Заседания Общественного совета при Росстандарте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План-график размещения заказов на поставки товаров, выполнение работ, оказание услуг для обеспечения государственных и муниципальных нужд.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0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Наиболее популярные тематические запросы со стороны СМИ по направлениям деятельности Росстандарта.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решений, распоряжений и предписаний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План работы научно-технического совета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План работы Ученого совета ФГУП ВНИИФТРИ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Состав Ученого совета ФГУП ВНИИФТРИ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0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международных договоров по сферам ведения Росстандарта (Меморандумы, подписанные Росстандартом)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0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нормативных правовых актов, принятых Росстандартом (и зарегистрированных Минюстом России)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План работы Общественного совета при Росстандарте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Состав Совета по молодежной политике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Состав Научно-технического совета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Состав Координационного совета по прослеживаемости в химии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План работы Совета по стандартизации при Росстандарте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План работы Росстандарта на 2017 год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Информационные карты 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об информационных системах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Сведения о доходах, расходах, об имуществе и обязательствах имущественного характера сотрудников центрального аппарата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Фактические величины показателей экономической эффективности деятельности подведомственных федеральных государственных унитарных предприятий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Фактически достигнутые значения целевых показателей подпрограммы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Фактически достигнутые значения целевых показателей ФЦП «Поддержание, развитие и использование системы ГЛОНАСС на 2012 - 2020 годы» в 2016 году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2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Значения целевых показателей подпрограммы «Развитие системы технического регулирования, стандартизации и обеспечение единства измерений» государственной программы Российской Федерации «Развитие промышленности и повышение ее конкурентоспособности»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Утвержденные плановые величины показателей экономической эффективности деятельности подведомственных федеральных государственных унитарных предприятий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Федеральное имущество в собственности Росстандарта, в том числе имущество, закрепленное за подведомственными федеральными государственными унитарными предприятиями и федеральными государственными учреждениями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 расходовании ассигнований федерального бюджета, предусмотренных Росстандартом на обеспечение исполнения его функций за 2019 год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об организованных конгрессах, конференциях, семинарах, творческих конкурсах, выставках и других мероприятиях в установленной сфере деятельности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об учрежденных Росстандартом средствах массовой информации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Состав совместного Совета по качеству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Состав Совета по стандартизации при Росстандарте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для кандидатов на замещение вакантных должностей государственной гражданской службы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</w:tc>
      </w:tr>
      <w:tr>
        <w:trPr>
          <w:trHeight w:val="10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 противодействии коррупции, о профилактике коррупционных нарушений, антикоррупционная экспертиза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0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 федеральных целевых и государственных программах, заказчиком или исполнителем которых является Росстандарт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0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План-график размещения заказов на поставки товаров, выполнение работ, оказание услуг для нужд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Государственные закупки и контракты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Реестр колесных транспортных средств, участвующих в отзывных кампаниях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Государственных первичных эталонов России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об обращениях граждан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Структурные подразделения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Анализ информационных ресурсов, находящихся в распоряжении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подведомственных организаций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Своды правил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 взаимодействии Росстандарта, его территориальных органах и подведомственных организаций с другими органами и организациями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2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 результатах плановых и внеплановых проверок, проведенных Росстандартом и его территориальными органами в пределах их полномочий, а также о результатах проверок, проведенных в Росстандарте, его территориальных органах и подведомственных организациях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План проведения плановых проверок юридических лиц и индивидуальных предпринимателей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 приеме и учете уведомлений о начале осуществления предпринимательской деятельности по производству низковольтного оборудования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Сведения о доходах, расходах, об имуществе и обязательствах имущественного характера руководителей подведомственных организаций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международных стандартов ИСО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Справочники наилучших доступных технологий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Сведения о результатах поверки средств измерений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Информация о приеме и учете уведомлений о начале осуществления предпринимательской деятельности по производству эталонов единиц величин, стандартных образцов и средств измерений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Организации, заключившие договоры с ФГУП СТАНДАРТИНФОРМ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Реестр испытательных лабораторий, включенных в Национальную систему сертификации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Реестр органов по сертификации, включенных в Национальную систему сертификации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0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Реестр объектов оценки соответствия, маркированных знаком Национальной системы стандартизации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1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Реестр продукции, маркированной знаком национальной системы стандартизации, соответствие которой требованиям национальных стандартов не подтверждено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Основные задачи Росстандарта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Проекты Евро-Азиатского сотрудничества государственных метрологических учреждений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Заявки на утверждение эталонов единиц величин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технических регламентов Евразийского экономического союза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50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Страны - участники Международной организации по стандартизации (ISO)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7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Перечень международных, региональных и национальных организаций по стандартизации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Студенты и аспиранты профильных учебных заведений.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Представители средств массовой информации.</w:t>
            </w:r>
          </w:p>
        </w:tc>
      </w:tr>
      <w:tr>
        <w:trPr>
          <w:trHeight w:val="250" w:hRule="atLeast"/>
        </w:trPr>
        <w:tc>
          <w:tcPr>
            <w:tcW w:w="45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pacing w:lineRule="auto" w:line="240" w:before="0" w:after="0"/>
              <w:ind w:left="313" w:hanging="36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Шифры калибровочных клейм</w:t>
            </w:r>
          </w:p>
        </w:tc>
        <w:tc>
          <w:tcPr>
            <w:tcW w:w="46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Организации-разработчики нормативных документов по стандартизации.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Заинтересованные промышленные и бизнес сообщества.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6" w:hanging="36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Технические комитеты по стандартизации.</w:t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9736342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ind w:firstLine="397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ca3c97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ca3c9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554a3"/>
    <w:pPr>
      <w:spacing w:before="0" w:after="0"/>
      <w:ind w:left="720" w:firstLine="397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ca3c97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3">
    <w:name w:val="Footer"/>
    <w:basedOn w:val="Normal"/>
    <w:link w:val="a8"/>
    <w:uiPriority w:val="99"/>
    <w:unhideWhenUsed/>
    <w:rsid w:val="00ca3c97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54a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6</Pages>
  <Words>2961</Words>
  <Characters>24069</Characters>
  <CharactersWithSpaces>26205</CharactersWithSpaces>
  <Paragraphs>488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2020-12-29T13:12:00Z</dcterms:created>
  <dc:creator>максим Фетисов</dc:creator>
  <dc:description/>
  <dc:language>ru-RU</dc:language>
  <cp:lastModifiedBy>Пользователь</cp:lastModifiedBy>
  <dcterms:modified xsi:type="dcterms:W3CDTF">2020-12-29T13:12:00Z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