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29.06.2021 N 1053</w:t>
              <w:br/>
              <w:t xml:space="preserve">(ред. от 20.04.2022)</w:t>
              <w:br/>
              <w:t xml:space="preserve">"Об утверждении Положения о федеральном государственном метрологическом контроле (надзоре) и о признании утратившими силу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29 июня 2021 г. N 1053</w:t>
      </w:r>
    </w:p>
    <w:p>
      <w:pPr>
        <w:pStyle w:val="2"/>
        <w:jc w:val="both"/>
      </w:pPr>
      <w:r>
        <w:rPr>
          <w:sz w:val="20"/>
        </w:rPr>
      </w:r>
    </w:p>
    <w:p>
      <w:pPr>
        <w:pStyle w:val="2"/>
        <w:jc w:val="center"/>
      </w:pPr>
      <w:r>
        <w:rPr>
          <w:sz w:val="20"/>
        </w:rPr>
        <w:t xml:space="preserve">ОБ УТВЕРЖДЕНИИ ПОЛОЖЕНИЯ</w:t>
      </w:r>
    </w:p>
    <w:p>
      <w:pPr>
        <w:pStyle w:val="2"/>
        <w:jc w:val="center"/>
      </w:pPr>
      <w:r>
        <w:rPr>
          <w:sz w:val="20"/>
        </w:rPr>
        <w:t xml:space="preserve">О ФЕДЕРАЛЬНОМ ГОСУДАРСТВЕННОМ МЕТРОЛОГИЧЕСКОМ КОНТРОЛЕ</w:t>
      </w:r>
    </w:p>
    <w:p>
      <w:pPr>
        <w:pStyle w:val="2"/>
        <w:jc w:val="center"/>
      </w:pPr>
      <w:r>
        <w:rPr>
          <w:sz w:val="20"/>
        </w:rPr>
        <w:t xml:space="preserve">(НАДЗОРЕ) И О ПРИЗНАНИИ УТРАТИВШИМИ СИЛУ НЕКОТОРЫХ АКТОВ</w:t>
      </w:r>
    </w:p>
    <w:p>
      <w:pPr>
        <w:pStyle w:val="2"/>
        <w:jc w:val="center"/>
      </w:pPr>
      <w:r>
        <w:rPr>
          <w:sz w:val="20"/>
        </w:rPr>
        <w:t xml:space="preserve">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27.11.2021 </w:t>
            </w:r>
            <w:hyperlink w:history="0" r:id="rId7" w:tooltip="Постановление Правительства РФ от 27.11.2021 N 2067 &quot;О внесении изменений в Положение о федеральном государственном метрологическом контроле (надзоре)&quot; {КонсультантПлюс}">
              <w:r>
                <w:rPr>
                  <w:sz w:val="20"/>
                  <w:color w:val="0000ff"/>
                </w:rPr>
                <w:t xml:space="preserve">N 2067</w:t>
              </w:r>
            </w:hyperlink>
            <w:r>
              <w:rPr>
                <w:sz w:val="20"/>
                <w:color w:val="392c69"/>
              </w:rPr>
              <w:t xml:space="preserve">,</w:t>
            </w:r>
          </w:p>
          <w:p>
            <w:pPr>
              <w:pStyle w:val="0"/>
              <w:jc w:val="center"/>
            </w:pPr>
            <w:r>
              <w:rPr>
                <w:sz w:val="20"/>
                <w:color w:val="392c69"/>
              </w:rPr>
              <w:t xml:space="preserve">от 20.04.2022 </w:t>
            </w:r>
            <w:hyperlink w:history="0" r:id="rId8" w:tooltip="Постановление Правительства РФ от 20.04.2022 N 710 &quot;О внесении изменения в пункт 44 Положения о федеральном государственном метрологическом контроле (надзоре)&quot; {КонсультантПлюс}">
              <w:r>
                <w:rPr>
                  <w:sz w:val="20"/>
                  <w:color w:val="0000ff"/>
                </w:rPr>
                <w:t xml:space="preserve">N 710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статьей 15</w:t>
        </w:r>
      </w:hyperlink>
      <w:r>
        <w:rPr>
          <w:sz w:val="20"/>
        </w:rPr>
        <w:t xml:space="preserve"> Федерального закона "Об обеспечении единства измерений" и Федеральным </w:t>
      </w:r>
      <w:hyperlink w:history="0" r:id="rId1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8" w:tooltip="ПОЛОЖЕНИЕ">
        <w:r>
          <w:rPr>
            <w:sz w:val="20"/>
            <w:color w:val="0000ff"/>
          </w:rPr>
          <w:t xml:space="preserve">Положение</w:t>
        </w:r>
      </w:hyperlink>
      <w:r>
        <w:rPr>
          <w:sz w:val="20"/>
        </w:rPr>
        <w:t xml:space="preserve"> о федеральном государственном метрологическом контроле (надзоре).</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включенные в план проведения плановых проверок юридических лиц и индивидуальных предпринимателей на 2021 год проверки по федеральному государственному метрологическому надзору, дата начала которых наступает позже 30 июня 2021 г., проводятся в рамках федерального государственного метрологического контроля (надзора) в соответствии с </w:t>
      </w:r>
      <w:hyperlink w:history="0" w:anchor="P38" w:tooltip="ПОЛОЖЕНИЕ">
        <w:r>
          <w:rPr>
            <w:sz w:val="20"/>
            <w:color w:val="0000ff"/>
          </w:rPr>
          <w:t xml:space="preserve">Положением</w:t>
        </w:r>
      </w:hyperlink>
      <w:r>
        <w:rPr>
          <w:sz w:val="20"/>
        </w:rPr>
        <w:t xml:space="preserve"> о федеральном государственном метрологическом контроле (надзоре), утвержденным настоящим постановлением;</w:t>
      </w:r>
    </w:p>
    <w:p>
      <w:pPr>
        <w:pStyle w:val="0"/>
        <w:spacing w:before="200" w:line-rule="auto"/>
        <w:ind w:firstLine="540"/>
        <w:jc w:val="both"/>
      </w:pPr>
      <w:r>
        <w:rPr>
          <w:sz w:val="20"/>
        </w:rPr>
        <w:t xml:space="preserve">реализация полномочий, предусмотренных настоящим постановлением, осуществляется Федеральным агентством по техническому регулированию и метрологии в пределах установленной Правительством Российской Федерации предельной численности работников центрального аппарата и территориальных органов Агентства, а также бюджетных ассигнований, предусмотренных Агентству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11" w:tooltip="Постановление Правительства РФ от 06.04.2011 N 246 (ред. от 26.12.2017) &quot;Об осуществлении федерального государственного метрологического надзора&quot; (вместе с &quot;Положением об осуществлении федерального государственного метрологического надзор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6 апреля 2011 г. N 246 "Об осуществлении государственного метрологического надзора" (Собрание законодательства Российской Федерации, 2011, N 15, ст. 2125);</w:t>
      </w:r>
    </w:p>
    <w:p>
      <w:pPr>
        <w:pStyle w:val="0"/>
        <w:spacing w:before="200" w:line-rule="auto"/>
        <w:ind w:firstLine="540"/>
        <w:jc w:val="both"/>
      </w:pPr>
      <w:hyperlink w:history="0" r:id="rId12" w:tooltip="Постановление Правительства РФ от 05.06.2013 N 476 (ред. от 30.12.2020) &quot;О вопросах государственного контроля (надзора) и признании утратившими силу некоторых актов Правительства Российской Федерации&quot; (вместе с &quot;Положением о федеральном государственном надзоре в области связи&quot;, &quot;Положением о государственном надзоре в области охраны атмосферного воздуха&quot;, &quot;Положением о государственном надзоре в области использования и охраны водных объектов&quot;, &quot;Положением о федеральном государственном надзоре в области охраны ------------ Недействующая редакция {КонсультантПлюс}">
        <w:r>
          <w:rPr>
            <w:sz w:val="20"/>
            <w:color w:val="0000ff"/>
          </w:rPr>
          <w:t xml:space="preserve">пункт 32</w:t>
        </w:r>
      </w:hyperlink>
      <w:r>
        <w:rPr>
          <w:sz w:val="20"/>
        </w:rPr>
        <w:t xml:space="preserve"> изменений, которые вносятся в некоторые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w:t>
      </w:r>
    </w:p>
    <w:p>
      <w:pPr>
        <w:pStyle w:val="0"/>
        <w:spacing w:before="200" w:line-rule="auto"/>
        <w:ind w:firstLine="540"/>
        <w:jc w:val="both"/>
      </w:pPr>
      <w:hyperlink w:history="0" r:id="rId13" w:tooltip="Постановление Правительства РФ от 26.12.2017 N 1643 &quot;О внесении изменений в Положение об осуществлении федерального государственного метрологического надзор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декабря 2017 г. N 1643 "О внесении изменений в Положение об осуществлении федерального государственного метрологического надзора" (Собрание законодательства Российской Федерации, 2018, N 1, ст. 376).</w:t>
      </w:r>
    </w:p>
    <w:p>
      <w:pPr>
        <w:pStyle w:val="0"/>
        <w:spacing w:before="200" w:line-rule="auto"/>
        <w:ind w:firstLine="540"/>
        <w:jc w:val="both"/>
      </w:pPr>
      <w:r>
        <w:rPr>
          <w:sz w:val="20"/>
        </w:rPr>
        <w:t xml:space="preserve">4. Настоящее постановление вступает в силу с 1 июля 2021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июня 2021 г. N 1053</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ФЕДЕРАЛЬНОМ ГОСУДАРСТВЕННОМ МЕТРОЛОГИЧЕСКОМ</w:t>
      </w:r>
    </w:p>
    <w:p>
      <w:pPr>
        <w:pStyle w:val="2"/>
        <w:jc w:val="center"/>
      </w:pPr>
      <w:r>
        <w:rPr>
          <w:sz w:val="20"/>
        </w:rPr>
        <w:t xml:space="preserve">КОНТРОЛЕ (НАДЗОРЕ)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27.11.2021 </w:t>
            </w:r>
            <w:hyperlink w:history="0" r:id="rId14" w:tooltip="Постановление Правительства РФ от 27.11.2021 N 2067 &quot;О внесении изменений в Положение о федеральном государственном метрологическом контроле (надзоре)&quot; {КонсультантПлюс}">
              <w:r>
                <w:rPr>
                  <w:sz w:val="20"/>
                  <w:color w:val="0000ff"/>
                </w:rPr>
                <w:t xml:space="preserve">N 2067</w:t>
              </w:r>
            </w:hyperlink>
            <w:r>
              <w:rPr>
                <w:sz w:val="20"/>
                <w:color w:val="392c69"/>
              </w:rPr>
              <w:t xml:space="preserve">,</w:t>
            </w:r>
          </w:p>
          <w:p>
            <w:pPr>
              <w:pStyle w:val="0"/>
              <w:jc w:val="center"/>
            </w:pPr>
            <w:r>
              <w:rPr>
                <w:sz w:val="20"/>
                <w:color w:val="392c69"/>
              </w:rPr>
              <w:t xml:space="preserve">от 20.04.2022 </w:t>
            </w:r>
            <w:hyperlink w:history="0" r:id="rId15" w:tooltip="Постановление Правительства РФ от 20.04.2022 N 710 &quot;О внесении изменения в пункт 44 Положения о федеральном государственном метрологическом контроле (надзоре)&quot; {КонсультантПлюс}">
              <w:r>
                <w:rPr>
                  <w:sz w:val="20"/>
                  <w:color w:val="0000ff"/>
                </w:rPr>
                <w:t xml:space="preserve">N 710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федерального государственного метрологического контроля (надзора) (далее - надзор).</w:t>
      </w:r>
    </w:p>
    <w:p>
      <w:pPr>
        <w:pStyle w:val="0"/>
        <w:spacing w:before="200" w:line-rule="auto"/>
        <w:ind w:firstLine="540"/>
        <w:jc w:val="both"/>
      </w:pPr>
      <w:r>
        <w:rPr>
          <w:sz w:val="20"/>
        </w:rPr>
        <w:t xml:space="preserve">2. Надзор осуществляется Федеральным агентством по техническому регулированию и метрологии и его территориальными органами в соответствии с Федеральным </w:t>
      </w:r>
      <w:hyperlink w:history="0" r:id="rId1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 Надзор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осуществляется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в соответствии с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Министерством промышленности и торговли Российской Федерации.</w:t>
      </w:r>
    </w:p>
    <w:p>
      <w:pPr>
        <w:pStyle w:val="0"/>
        <w:spacing w:before="200" w:line-rule="auto"/>
        <w:ind w:firstLine="540"/>
        <w:jc w:val="both"/>
      </w:pPr>
      <w:r>
        <w:rPr>
          <w:sz w:val="20"/>
        </w:rPr>
        <w:t xml:space="preserve">4. Надзор осуществляется посредством профилактики нарушений обязательных требований, организации и проведения контрольных (надзорных) мероприятий и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pStyle w:val="0"/>
        <w:spacing w:before="200" w:line-rule="auto"/>
        <w:ind w:firstLine="540"/>
        <w:jc w:val="both"/>
      </w:pPr>
      <w:r>
        <w:rPr>
          <w:sz w:val="20"/>
        </w:rPr>
        <w:t xml:space="preserve">5. Должностными лицами Федерального агентства по техническому регулированию и метрологии и его территориальных органов, уполномоченными на осуществление надзора (далее - должностные лица), являются:</w:t>
      </w:r>
    </w:p>
    <w:p>
      <w:pPr>
        <w:pStyle w:val="0"/>
        <w:spacing w:before="200" w:line-rule="auto"/>
        <w:ind w:firstLine="540"/>
        <w:jc w:val="both"/>
      </w:pPr>
      <w:r>
        <w:rPr>
          <w:sz w:val="20"/>
        </w:rPr>
        <w:t xml:space="preserve">а) руководитель, заместители руководителя Федерального агентства по техническому регулированию и метрологии;</w:t>
      </w:r>
    </w:p>
    <w:p>
      <w:pPr>
        <w:pStyle w:val="0"/>
        <w:spacing w:before="200" w:line-rule="auto"/>
        <w:ind w:firstLine="540"/>
        <w:jc w:val="both"/>
      </w:pPr>
      <w:r>
        <w:rPr>
          <w:sz w:val="20"/>
        </w:rPr>
        <w:t xml:space="preserve">б) руководители, заместители руководителей территориальных органов Федерального агентства по техническому регулированию и метрологии;</w:t>
      </w:r>
    </w:p>
    <w:p>
      <w:pPr>
        <w:pStyle w:val="0"/>
        <w:spacing w:before="200" w:line-rule="auto"/>
        <w:ind w:firstLine="540"/>
        <w:jc w:val="both"/>
      </w:pPr>
      <w:r>
        <w:rPr>
          <w:sz w:val="20"/>
        </w:rPr>
        <w:t xml:space="preserve">в) иные должностные лица Федерального агентства по техническому регулированию и метрологии и его территориальных органов, в должностные обязанности которых в соответствии с должностными регламентами входит осуществление полномочий по надзору.</w:t>
      </w:r>
    </w:p>
    <w:p>
      <w:pPr>
        <w:pStyle w:val="0"/>
        <w:spacing w:before="200" w:line-rule="auto"/>
        <w:ind w:firstLine="540"/>
        <w:jc w:val="both"/>
      </w:pPr>
      <w:r>
        <w:rPr>
          <w:sz w:val="20"/>
        </w:rPr>
        <w:t xml:space="preserve">6. Должностными лицами Федерального агентства по техническому регулированию и метрологии и его территориальных органов, уполномоченными на принятие решений о проведении профилактического или контрольного (надзорного) мероприятия, являются:</w:t>
      </w:r>
    </w:p>
    <w:p>
      <w:pPr>
        <w:pStyle w:val="0"/>
        <w:spacing w:before="200" w:line-rule="auto"/>
        <w:ind w:firstLine="540"/>
        <w:jc w:val="both"/>
      </w:pPr>
      <w:r>
        <w:rPr>
          <w:sz w:val="20"/>
        </w:rPr>
        <w:t xml:space="preserve">а) руководитель, заместители руководителя Федерального агентства по техническому регулированию и метрологии;</w:t>
      </w:r>
    </w:p>
    <w:p>
      <w:pPr>
        <w:pStyle w:val="0"/>
        <w:spacing w:before="200" w:line-rule="auto"/>
        <w:ind w:firstLine="540"/>
        <w:jc w:val="both"/>
      </w:pPr>
      <w:r>
        <w:rPr>
          <w:sz w:val="20"/>
        </w:rPr>
        <w:t xml:space="preserve">б) руководители, заместители руководителей территориальных органов Федерального агентства по техническому регулированию и метрологии.</w:t>
      </w:r>
    </w:p>
    <w:p>
      <w:pPr>
        <w:pStyle w:val="0"/>
        <w:spacing w:before="200" w:line-rule="auto"/>
        <w:ind w:firstLine="540"/>
        <w:jc w:val="both"/>
      </w:pPr>
      <w:r>
        <w:rPr>
          <w:sz w:val="20"/>
        </w:rPr>
        <w:t xml:space="preserve">7. Решение о проведении профилактического или контрольного (надзорного) мероприятия оформляется в форме приказа.</w:t>
      </w:r>
    </w:p>
    <w:p>
      <w:pPr>
        <w:pStyle w:val="0"/>
        <w:jc w:val="both"/>
      </w:pPr>
      <w:r>
        <w:rPr>
          <w:sz w:val="20"/>
        </w:rPr>
      </w:r>
    </w:p>
    <w:p>
      <w:pPr>
        <w:pStyle w:val="2"/>
        <w:outlineLvl w:val="1"/>
        <w:jc w:val="center"/>
      </w:pPr>
      <w:r>
        <w:rPr>
          <w:sz w:val="20"/>
        </w:rPr>
        <w:t xml:space="preserve">II. Предмет и объекты надзора</w:t>
      </w:r>
    </w:p>
    <w:p>
      <w:pPr>
        <w:pStyle w:val="0"/>
        <w:jc w:val="both"/>
      </w:pPr>
      <w:r>
        <w:rPr>
          <w:sz w:val="20"/>
        </w:rPr>
      </w:r>
    </w:p>
    <w:p>
      <w:pPr>
        <w:pStyle w:val="0"/>
        <w:ind w:firstLine="540"/>
        <w:jc w:val="both"/>
      </w:pPr>
      <w:r>
        <w:rPr>
          <w:sz w:val="20"/>
        </w:rPr>
        <w:t xml:space="preserve">8. Предметом надзора является соблюдение юридическими лицами и индивидуальными предпринимателями (далее - контролируемые лица) следующих обязательных требований в сфере государственного регулирования обеспечения единства измерений, установленных Федеральным </w:t>
      </w:r>
      <w:hyperlink w:history="0" r:id="rId17"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законом</w:t>
        </w:r>
      </w:hyperlink>
      <w:r>
        <w:rPr>
          <w:sz w:val="20"/>
        </w:rPr>
        <w:t xml:space="preserve"> "Об обеспечении единства измерений" и принимаемыми в соответствии с ним нормативными правовыми актами:</w:t>
      </w:r>
    </w:p>
    <w:p>
      <w:pPr>
        <w:pStyle w:val="0"/>
        <w:spacing w:before="200" w:line-rule="auto"/>
        <w:ind w:firstLine="540"/>
        <w:jc w:val="both"/>
      </w:pPr>
      <w:r>
        <w:rPr>
          <w:sz w:val="20"/>
        </w:rPr>
        <w:t xml:space="preserve">а) при выпуске в обращение или обращении:</w:t>
      </w:r>
    </w:p>
    <w:p>
      <w:pPr>
        <w:pStyle w:val="0"/>
        <w:spacing w:before="200" w:line-rule="auto"/>
        <w:ind w:firstLine="540"/>
        <w:jc w:val="both"/>
      </w:pPr>
      <w:r>
        <w:rPr>
          <w:sz w:val="20"/>
        </w:rPr>
        <w:t xml:space="preserve">средств измерений утвержденного типа:</w:t>
      </w:r>
    </w:p>
    <w:p>
      <w:pPr>
        <w:pStyle w:val="0"/>
        <w:spacing w:before="200" w:line-rule="auto"/>
        <w:ind w:firstLine="540"/>
        <w:jc w:val="both"/>
      </w:pPr>
      <w:r>
        <w:rPr>
          <w:sz w:val="20"/>
        </w:rPr>
        <w:t xml:space="preserve">соответствие используемых единиц величин единицам величин, допускаемым к применению в Российской Федерации в соответствии со </w:t>
      </w:r>
      <w:hyperlink w:history="0" r:id="rId18"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статьей 6</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наличие сведений об утвержденном типе средств измерений в Федеральном информационном фонде по обеспечению единства измерений в соответствии с </w:t>
      </w:r>
      <w:hyperlink w:history="0" r:id="rId19"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3 статьи 12</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соответствие средства измерений обязательным метрологическим и техническим требованиям к средствам измерений, установленным в соответствии с законодательством Российской Федерации об обеспечении единства измерений и о техническом регулировании;</w:t>
      </w:r>
    </w:p>
    <w:p>
      <w:pPr>
        <w:pStyle w:val="0"/>
        <w:spacing w:before="200" w:line-rule="auto"/>
        <w:ind w:firstLine="540"/>
        <w:jc w:val="both"/>
      </w:pPr>
      <w:r>
        <w:rPr>
          <w:sz w:val="20"/>
        </w:rPr>
        <w:t xml:space="preserve">соответствие конструкции средства измерений требованиям, установленным </w:t>
      </w:r>
      <w:hyperlink w:history="0" r:id="rId20"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2 статьи 9</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наличие знака утверждения типа в соответствии с </w:t>
      </w:r>
      <w:hyperlink w:history="0" r:id="rId21"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4 статьи 12</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стандартных образцов утвержденного типа:</w:t>
      </w:r>
    </w:p>
    <w:p>
      <w:pPr>
        <w:pStyle w:val="0"/>
        <w:spacing w:before="200" w:line-rule="auto"/>
        <w:ind w:firstLine="540"/>
        <w:jc w:val="both"/>
      </w:pPr>
      <w:r>
        <w:rPr>
          <w:sz w:val="20"/>
        </w:rPr>
        <w:t xml:space="preserve">соответствие используемых единиц величин единицам величин, допускаемым к применению в Российской Федерации в соответствии со </w:t>
      </w:r>
      <w:hyperlink w:history="0" r:id="rId2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статьей 6</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наличие сведений об утвержденном типе стандартных образцов в Федеральном информационном фонде по обеспечению единства измерений в соответствии с </w:t>
      </w:r>
      <w:hyperlink w:history="0" r:id="rId23"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3 статьи 12</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наличие знака утверждения типа в соответствии с </w:t>
      </w:r>
      <w:hyperlink w:history="0" r:id="rId24"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4 статьи 12</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эталонов единиц величин:</w:t>
      </w:r>
    </w:p>
    <w:p>
      <w:pPr>
        <w:pStyle w:val="0"/>
        <w:spacing w:before="200" w:line-rule="auto"/>
        <w:ind w:firstLine="540"/>
        <w:jc w:val="both"/>
      </w:pPr>
      <w:r>
        <w:rPr>
          <w:sz w:val="20"/>
        </w:rPr>
        <w:t xml:space="preserve">соответствие используемых единиц величин единицам величин, допускаемым к применению в Российской Федерации в соответствии со </w:t>
      </w:r>
      <w:hyperlink w:history="0" r:id="rId25"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статьей 6</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прослеживаемость эталонов единиц величин в соответствии с </w:t>
      </w:r>
      <w:hyperlink w:history="0" r:id="rId26"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 статьи 7</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соответствие конструкции эталона единиц величин требованиям, установленным </w:t>
      </w:r>
      <w:hyperlink w:history="0" r:id="rId27"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7.1 статьи 7</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соблюдение обязательных требований к эталонам единиц величин, устанавливаемым в соответствии с </w:t>
      </w:r>
      <w:hyperlink w:history="0" r:id="rId28"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8 статьи 7</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б) при выполнении измерений в сфере государственного регулирования обеспечения единства измерений и применении в областях деятельности, предусмотренных </w:t>
      </w:r>
      <w:hyperlink w:history="0" r:id="rId29"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3 статьи 1</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средств измерений утвержденного типа:</w:t>
      </w:r>
    </w:p>
    <w:p>
      <w:pPr>
        <w:pStyle w:val="0"/>
        <w:spacing w:before="200" w:line-rule="auto"/>
        <w:ind w:firstLine="540"/>
        <w:jc w:val="both"/>
      </w:pPr>
      <w:r>
        <w:rPr>
          <w:sz w:val="20"/>
        </w:rPr>
        <w:t xml:space="preserve">наличие и соблюдение аттестованных методик (методов) измерений, не предназначенных для выполнения прямых измерений, сведения о которых переданы в Федеральный информационный фонд по обеспечению единства измерений в соответствии с </w:t>
      </w:r>
      <w:hyperlink w:history="0" r:id="rId30"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2 статьи 5</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соответствие используемых единиц величин единицам величин, допускаемым к применению в Российской Федерации в соответствии со </w:t>
      </w:r>
      <w:hyperlink w:history="0" r:id="rId31"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статьей 6</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наличие сведений об утвержденном типе средств измерений и о результатах поверки средства измерений в Федеральном информационном фонде по обеспечению единства измерений в соответствии с </w:t>
      </w:r>
      <w:hyperlink w:history="0" r:id="rId3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3 статьи 12</w:t>
        </w:r>
      </w:hyperlink>
      <w:r>
        <w:rPr>
          <w:sz w:val="20"/>
        </w:rPr>
        <w:t xml:space="preserve"> и </w:t>
      </w:r>
      <w:hyperlink w:history="0" r:id="rId33"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4 статьи 13</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соблюдение интервалов между поверками средств измерений, устанавливаемых в соответствии с </w:t>
      </w:r>
      <w:hyperlink w:history="0" r:id="rId34"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1 статьи 12</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соответствие применяемого средства измерений показателям точности измерений, устанавливаемым в соответствии с </w:t>
      </w:r>
      <w:hyperlink w:history="0" r:id="rId35"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1 статьи 12</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соблюдение обязательных требований к условиям эксплуатации средств измерений в соответствии с </w:t>
      </w:r>
      <w:hyperlink w:history="0" r:id="rId36"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1 статьи 9</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соответствие средства измерений обязательным метрологическим и техническим требованиям к средствам измерений в соответствии с </w:t>
      </w:r>
      <w:hyperlink w:history="0" r:id="rId37"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1 статьи 9</w:t>
        </w:r>
      </w:hyperlink>
      <w:r>
        <w:rPr>
          <w:sz w:val="20"/>
        </w:rPr>
        <w:t xml:space="preserve"> Федерального закона "Об обеспечении единства измерений", включая обеспечение средством измерений соблюдения обязательных метрологических требований к измерениям, в том числе показателей точности измерений, устанавливаемых в соответствии с </w:t>
      </w:r>
      <w:hyperlink w:history="0" r:id="rId38"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5 статьи 5</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обеспечение в соответствии с эксплуатационной документацией ограничения доступа к определенным частям средств измерений (включая программное обеспечение) в целях предотвращения несанкционированных настройки и вмешательства, которые могут привести к искажениям результатов измерений, в соответствии с частью 2 статьи 9 Федерального закона "Об обеспечении единства измерений";</w:t>
      </w:r>
    </w:p>
    <w:p>
      <w:pPr>
        <w:pStyle w:val="0"/>
        <w:spacing w:before="200" w:line-rule="auto"/>
        <w:ind w:firstLine="540"/>
        <w:jc w:val="both"/>
      </w:pPr>
      <w:r>
        <w:rPr>
          <w:sz w:val="20"/>
        </w:rPr>
        <w:t xml:space="preserve">соблюдение при применении средства измерений обязательных метрологических требований к измерениям, в том числе показателей точности измерений, устанавливаемых в соответствии с </w:t>
      </w:r>
      <w:hyperlink w:history="0" r:id="rId39"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5 статьи 5</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наличие знака утверждения типа в соответствии с </w:t>
      </w:r>
      <w:hyperlink w:history="0" r:id="rId40"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4 статьи 12</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стандартных образцов утвержденного типа:</w:t>
      </w:r>
    </w:p>
    <w:p>
      <w:pPr>
        <w:pStyle w:val="0"/>
        <w:spacing w:before="200" w:line-rule="auto"/>
        <w:ind w:firstLine="540"/>
        <w:jc w:val="both"/>
      </w:pPr>
      <w:r>
        <w:rPr>
          <w:sz w:val="20"/>
        </w:rPr>
        <w:t xml:space="preserve">соответствие единиц величин, выражающих характеристики состава или свойств веществ (материалов) стандартных образцов, единицам величин, допускаемым к применению в Российской Федерации в соответствии со </w:t>
      </w:r>
      <w:hyperlink w:history="0" r:id="rId41"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статьей 6</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наличие сведений об утвержденном типе стандартных образцов в Федеральном информационном фонде по обеспечению единства измерений в соответствии с </w:t>
      </w:r>
      <w:hyperlink w:history="0" r:id="rId4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3 статьи 12</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соблюдение при применении стандартных образцов требований аттестованных методик (методов) измерений, сведения о которых переданы в Федеральный информационный фонд по обеспечению единства измерений, в соответствии с </w:t>
      </w:r>
      <w:hyperlink w:history="0" r:id="rId43"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2 статьи 5</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эталонов единиц величин:</w:t>
      </w:r>
    </w:p>
    <w:p>
      <w:pPr>
        <w:pStyle w:val="0"/>
        <w:spacing w:before="200" w:line-rule="auto"/>
        <w:ind w:firstLine="540"/>
        <w:jc w:val="both"/>
      </w:pPr>
      <w:r>
        <w:rPr>
          <w:sz w:val="20"/>
        </w:rPr>
        <w:t xml:space="preserve">соответствие используемых единиц величин единицам величин, допускаемым к применению в Российской Федерации в соответствии со </w:t>
      </w:r>
      <w:hyperlink w:history="0" r:id="rId44"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статьей 6</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прослеживаемость эталонов единиц величин в соответствии с </w:t>
      </w:r>
      <w:hyperlink w:history="0" r:id="rId45"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 статьи 7</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обеспечение ограничения доступа к определенным частям эталонов единиц величин (включая программное обеспечение) в целях предотвращения несанкционированной настройки и вмешательства, которые могут привести к искажению воспроизведения, хранения и передачи единицы величины, шкалы величины (шкалы измерений), в соответствии с </w:t>
      </w:r>
      <w:hyperlink w:history="0" r:id="rId46"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7.1 статьи 7</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соблюдение обязательных требований к эталонам единиц величин, устанавливаемых в соответствии с </w:t>
      </w:r>
      <w:hyperlink w:history="0" r:id="rId47"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8 статьи 7</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9. Объектами надзора являются:</w:t>
      </w:r>
    </w:p>
    <w:bookmarkStart w:id="101" w:name="P101"/>
    <w:bookmarkEnd w:id="101"/>
    <w:p>
      <w:pPr>
        <w:pStyle w:val="0"/>
        <w:spacing w:before="200" w:line-rule="auto"/>
        <w:ind w:firstLine="540"/>
        <w:jc w:val="both"/>
      </w:pPr>
      <w:r>
        <w:rPr>
          <w:sz w:val="20"/>
        </w:rPr>
        <w:t xml:space="preserve">а) деятельность контролируемых лиц по выпуску в обращение или обращению средств измерений утвержденного типа, стандартных образцов утвержденного типа или эталонов единиц величин;</w:t>
      </w:r>
    </w:p>
    <w:p>
      <w:pPr>
        <w:pStyle w:val="0"/>
        <w:spacing w:before="200" w:line-rule="auto"/>
        <w:ind w:firstLine="540"/>
        <w:jc w:val="both"/>
      </w:pPr>
      <w:r>
        <w:rPr>
          <w:sz w:val="20"/>
        </w:rPr>
        <w:t xml:space="preserve">б) деятельность контролируемых лиц по выполнению измерений, относящихся к сфере государственного регулирования обеспечения единства измерений, применению для этих целей средств измерений, стандартных образцов или эталонов единиц величин в областях деятельности, предусмотренных </w:t>
      </w:r>
      <w:hyperlink w:history="0" r:id="rId48"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3 статьи 1</w:t>
        </w:r>
      </w:hyperlink>
      <w:r>
        <w:rPr>
          <w:sz w:val="20"/>
        </w:rPr>
        <w:t xml:space="preserve"> Федерального закона "Об обеспечении единства измерений".</w:t>
      </w:r>
    </w:p>
    <w:p>
      <w:pPr>
        <w:pStyle w:val="0"/>
        <w:spacing w:before="200" w:line-rule="auto"/>
        <w:ind w:firstLine="540"/>
        <w:jc w:val="both"/>
      </w:pPr>
      <w:r>
        <w:rPr>
          <w:sz w:val="20"/>
        </w:rPr>
        <w:t xml:space="preserve">10. Учет объектов надзора осуществляется Федеральным агентством по техническому регулированию и метрологии и его территориальными органами на постоянной основе. Территориальные органы ежемесячно направляют в Федеральное агентство по техническому регулированию и метрологии перечень объектов надзора для формирования Федеральным агентством по техническому регулированию и метрологии сводного перечня объектов надзора.</w:t>
      </w:r>
    </w:p>
    <w:p>
      <w:pPr>
        <w:pStyle w:val="0"/>
        <w:spacing w:before="200" w:line-rule="auto"/>
        <w:ind w:firstLine="540"/>
        <w:jc w:val="both"/>
      </w:pPr>
      <w:r>
        <w:rPr>
          <w:sz w:val="20"/>
        </w:rPr>
        <w:t xml:space="preserve">Федеральное агентство по техническому регулированию и метрологии обеспечивает ведение сводного перечня объектов надзора. Включение объектов надзора в сводный перечень объектов надзора осуществляется на основе решений об их отнесении к категориям риска причинения вреда (ущерба) охраняемым законом ценностям (далее - категории риска).</w:t>
      </w:r>
    </w:p>
    <w:p>
      <w:pPr>
        <w:pStyle w:val="0"/>
        <w:spacing w:before="200" w:line-rule="auto"/>
        <w:ind w:firstLine="540"/>
        <w:jc w:val="both"/>
      </w:pPr>
      <w:r>
        <w:rPr>
          <w:sz w:val="20"/>
        </w:rPr>
        <w:t xml:space="preserve">11. Сводный перечень объектов надзора содержит следующую информацию:</w:t>
      </w:r>
    </w:p>
    <w:p>
      <w:pPr>
        <w:pStyle w:val="0"/>
        <w:spacing w:before="200" w:line-rule="auto"/>
        <w:ind w:firstLine="540"/>
        <w:jc w:val="both"/>
      </w:pPr>
      <w:r>
        <w:rPr>
          <w:sz w:val="20"/>
        </w:rPr>
        <w:t xml:space="preserve">а) вид деятельности, которой присвоена категория риска в соответствии с критериями отнесения объектов надзора к определенной категории риска согласно </w:t>
      </w:r>
      <w:hyperlink w:history="0" w:anchor="P290" w:tooltip="КРИТЕРИИ">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б) полное наименование юридического лица, фамилия, имя и отчество (при наличии) индивидуального предпринимателя;</w:t>
      </w:r>
    </w:p>
    <w:p>
      <w:pPr>
        <w:pStyle w:val="0"/>
        <w:spacing w:before="200" w:line-rule="auto"/>
        <w:ind w:firstLine="540"/>
        <w:jc w:val="both"/>
      </w:pPr>
      <w:r>
        <w:rPr>
          <w:sz w:val="20"/>
        </w:rPr>
        <w:t xml:space="preserve">в) основной государственный регистрационный номер;</w:t>
      </w:r>
    </w:p>
    <w:p>
      <w:pPr>
        <w:pStyle w:val="0"/>
        <w:spacing w:before="200" w:line-rule="auto"/>
        <w:ind w:firstLine="540"/>
        <w:jc w:val="both"/>
      </w:pPr>
      <w:r>
        <w:rPr>
          <w:sz w:val="20"/>
        </w:rPr>
        <w:t xml:space="preserve">г) индивидуальный номер налогоплательщика;</w:t>
      </w:r>
    </w:p>
    <w:p>
      <w:pPr>
        <w:pStyle w:val="0"/>
        <w:spacing w:before="200" w:line-rule="auto"/>
        <w:ind w:firstLine="540"/>
        <w:jc w:val="both"/>
      </w:pPr>
      <w:r>
        <w:rPr>
          <w:sz w:val="20"/>
        </w:rPr>
        <w:t xml:space="preserve">д) место нахождения юридического лица или место жительства индивидуального предпринимателя;</w:t>
      </w:r>
    </w:p>
    <w:p>
      <w:pPr>
        <w:pStyle w:val="0"/>
        <w:spacing w:before="200" w:line-rule="auto"/>
        <w:ind w:firstLine="540"/>
        <w:jc w:val="both"/>
      </w:pPr>
      <w:r>
        <w:rPr>
          <w:sz w:val="20"/>
        </w:rPr>
        <w:t xml:space="preserve">е) реквизиты решения о присвоении деятельности юридического лица или индивидуального предпринимателя категории риска, указание на категорию риска;</w:t>
      </w:r>
    </w:p>
    <w:p>
      <w:pPr>
        <w:pStyle w:val="0"/>
        <w:spacing w:before="200" w:line-rule="auto"/>
        <w:ind w:firstLine="540"/>
        <w:jc w:val="both"/>
      </w:pPr>
      <w:r>
        <w:rPr>
          <w:sz w:val="20"/>
        </w:rPr>
        <w:t xml:space="preserve">ж) сведения, на основании которых принято решение об отнесении деятельности юридического лица или индивидуального предпринимателя к категории риска.</w:t>
      </w:r>
    </w:p>
    <w:p>
      <w:pPr>
        <w:pStyle w:val="0"/>
        <w:jc w:val="both"/>
      </w:pPr>
      <w:r>
        <w:rPr>
          <w:sz w:val="20"/>
        </w:rPr>
      </w:r>
    </w:p>
    <w:p>
      <w:pPr>
        <w:pStyle w:val="2"/>
        <w:outlineLvl w:val="1"/>
        <w:jc w:val="center"/>
      </w:pPr>
      <w:r>
        <w:rPr>
          <w:sz w:val="20"/>
        </w:rPr>
        <w:t xml:space="preserve">III. Критерии отнесения объектов надзора к категориям риска</w:t>
      </w:r>
    </w:p>
    <w:p>
      <w:pPr>
        <w:pStyle w:val="2"/>
        <w:jc w:val="center"/>
      </w:pPr>
      <w:r>
        <w:rPr>
          <w:sz w:val="20"/>
        </w:rPr>
        <w:t xml:space="preserve">в рамках осуществления надзора</w:t>
      </w:r>
    </w:p>
    <w:p>
      <w:pPr>
        <w:pStyle w:val="0"/>
        <w:jc w:val="both"/>
      </w:pPr>
      <w:r>
        <w:rPr>
          <w:sz w:val="20"/>
        </w:rPr>
      </w:r>
    </w:p>
    <w:p>
      <w:pPr>
        <w:pStyle w:val="0"/>
        <w:ind w:firstLine="540"/>
        <w:jc w:val="both"/>
      </w:pPr>
      <w:r>
        <w:rPr>
          <w:sz w:val="20"/>
        </w:rPr>
        <w:t xml:space="preserve">12. Федеральное агентство по техническому регулированию и метрологии и его территориальные органы осуществляют надзор на основе управления рисками причинения вреда (ущерба) охраняемым законом ценностям.</w:t>
      </w:r>
    </w:p>
    <w:p>
      <w:pPr>
        <w:pStyle w:val="0"/>
        <w:spacing w:before="200" w:line-rule="auto"/>
        <w:ind w:firstLine="540"/>
        <w:jc w:val="both"/>
      </w:pPr>
      <w:r>
        <w:rPr>
          <w:sz w:val="20"/>
        </w:rPr>
        <w:t xml:space="preserve">13. При осуществлении Федеральным агентством по техническому регулированию и метрологии и его территориальными органами надзора на основе управления рисками причинения вреда (ущерба) охраняемым законом ценностям объекты надзора подлежат отнесению к одной из категорий риска:</w:t>
      </w:r>
    </w:p>
    <w:p>
      <w:pPr>
        <w:pStyle w:val="0"/>
        <w:spacing w:before="200" w:line-rule="auto"/>
        <w:ind w:firstLine="540"/>
        <w:jc w:val="both"/>
      </w:pPr>
      <w:r>
        <w:rPr>
          <w:sz w:val="20"/>
        </w:rPr>
        <w:t xml:space="preserve">а) высокий риск;</w:t>
      </w:r>
    </w:p>
    <w:p>
      <w:pPr>
        <w:pStyle w:val="0"/>
        <w:spacing w:before="200" w:line-rule="auto"/>
        <w:ind w:firstLine="540"/>
        <w:jc w:val="both"/>
      </w:pPr>
      <w:r>
        <w:rPr>
          <w:sz w:val="20"/>
        </w:rPr>
        <w:t xml:space="preserve">б) значительный риск;</w:t>
      </w:r>
    </w:p>
    <w:p>
      <w:pPr>
        <w:pStyle w:val="0"/>
        <w:spacing w:before="200" w:line-rule="auto"/>
        <w:ind w:firstLine="540"/>
        <w:jc w:val="both"/>
      </w:pPr>
      <w:r>
        <w:rPr>
          <w:sz w:val="20"/>
        </w:rPr>
        <w:t xml:space="preserve">в) средний риск;</w:t>
      </w:r>
    </w:p>
    <w:p>
      <w:pPr>
        <w:pStyle w:val="0"/>
        <w:spacing w:before="200" w:line-rule="auto"/>
        <w:ind w:firstLine="540"/>
        <w:jc w:val="both"/>
      </w:pPr>
      <w:r>
        <w:rPr>
          <w:sz w:val="20"/>
        </w:rPr>
        <w:t xml:space="preserve">г) умеренный риск;</w:t>
      </w:r>
    </w:p>
    <w:p>
      <w:pPr>
        <w:pStyle w:val="0"/>
        <w:spacing w:before="200" w:line-rule="auto"/>
        <w:ind w:firstLine="540"/>
        <w:jc w:val="both"/>
      </w:pPr>
      <w:r>
        <w:rPr>
          <w:sz w:val="20"/>
        </w:rPr>
        <w:t xml:space="preserve">д) низкий риск.</w:t>
      </w:r>
    </w:p>
    <w:p>
      <w:pPr>
        <w:pStyle w:val="0"/>
        <w:spacing w:before="200" w:line-rule="auto"/>
        <w:ind w:firstLine="540"/>
        <w:jc w:val="both"/>
      </w:pPr>
      <w:r>
        <w:rPr>
          <w:sz w:val="20"/>
        </w:rPr>
        <w:t xml:space="preserve">14. Отнесение объектов надзора к категориям риска осуществляется решением руководителя Федерального агентства по техническому регулированию и метрологии либо лица, исполняющего его обязанности, по представлению руководителя территориального органа Федерального агентства по техническому регулированию и метрологии по месту нахождения контролируемого лица в соответствии с критериями отнесения объектов надзора к определенной категории риска, предусмотренными </w:t>
      </w:r>
      <w:hyperlink w:history="0" w:anchor="P290" w:tooltip="КРИТЕРИИ">
        <w:r>
          <w:rPr>
            <w:sz w:val="20"/>
            <w:color w:val="0000ff"/>
          </w:rPr>
          <w:t xml:space="preserve">приложением N 1</w:t>
        </w:r>
      </w:hyperlink>
      <w:r>
        <w:rPr>
          <w:sz w:val="20"/>
        </w:rPr>
        <w:t xml:space="preserve"> к настоящему Положению.</w:t>
      </w:r>
    </w:p>
    <w:p>
      <w:pPr>
        <w:pStyle w:val="0"/>
        <w:jc w:val="both"/>
      </w:pPr>
      <w:r>
        <w:rPr>
          <w:sz w:val="20"/>
        </w:rPr>
      </w:r>
    </w:p>
    <w:p>
      <w:pPr>
        <w:pStyle w:val="2"/>
        <w:outlineLvl w:val="1"/>
        <w:jc w:val="center"/>
      </w:pPr>
      <w:r>
        <w:rPr>
          <w:sz w:val="20"/>
        </w:rPr>
        <w:t xml:space="preserve">IV. Профилактические мероприятия в рамках</w:t>
      </w:r>
    </w:p>
    <w:p>
      <w:pPr>
        <w:pStyle w:val="2"/>
        <w:jc w:val="center"/>
      </w:pPr>
      <w:r>
        <w:rPr>
          <w:sz w:val="20"/>
        </w:rPr>
        <w:t xml:space="preserve">осуществления надзора</w:t>
      </w:r>
    </w:p>
    <w:p>
      <w:pPr>
        <w:pStyle w:val="0"/>
        <w:jc w:val="both"/>
      </w:pPr>
      <w:r>
        <w:rPr>
          <w:sz w:val="20"/>
        </w:rPr>
      </w:r>
    </w:p>
    <w:p>
      <w:pPr>
        <w:pStyle w:val="0"/>
        <w:ind w:firstLine="540"/>
        <w:jc w:val="both"/>
      </w:pPr>
      <w:r>
        <w:rPr>
          <w:sz w:val="20"/>
        </w:rPr>
        <w:t xml:space="preserve">15. Федеральным агентством по техническому регулированию и метрологии ежегодно утверждается программа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16. При осуществлении надзора должностные лица вправе проводить следующие виды профилактических мероприятий:</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самообследование;</w:t>
      </w:r>
    </w:p>
    <w:p>
      <w:pPr>
        <w:pStyle w:val="0"/>
        <w:spacing w:before="200" w:line-rule="auto"/>
        <w:ind w:firstLine="540"/>
        <w:jc w:val="both"/>
      </w:pPr>
      <w:r>
        <w:rPr>
          <w:sz w:val="20"/>
        </w:rPr>
        <w:t xml:space="preserve">д) профилактический визит.</w:t>
      </w:r>
    </w:p>
    <w:p>
      <w:pPr>
        <w:pStyle w:val="0"/>
        <w:spacing w:before="200" w:line-rule="auto"/>
        <w:ind w:firstLine="540"/>
        <w:jc w:val="both"/>
      </w:pPr>
      <w:r>
        <w:rPr>
          <w:sz w:val="20"/>
        </w:rPr>
        <w:t xml:space="preserve">17. Информирование контролируемых лиц и иных заинтересованных лиц по вопросам соблюдения обязательных требований осуществляется Федеральным агентством по техническому регулированию и метрологии и его территориальными органами посредством размещения соответствующих сведений на своих официальных сайтах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18. Территориальные органы Федерального агентства по техническому регулированию и метрологии ежегодно, не позднее 1 декабря, проводят обобщение правоприменительной практики территориального органа Федерального агентства по техническому регулированию и метрологии.</w:t>
      </w:r>
    </w:p>
    <w:p>
      <w:pPr>
        <w:pStyle w:val="0"/>
        <w:spacing w:before="200" w:line-rule="auto"/>
        <w:ind w:firstLine="540"/>
        <w:jc w:val="both"/>
      </w:pPr>
      <w:r>
        <w:rPr>
          <w:sz w:val="20"/>
        </w:rPr>
        <w:t xml:space="preserve">19. Федеральное агентство по техническому регулированию и метрологии ежегодно готовит доклад, содержащий результаты обобщения правоприменительной практики Агентства (далее - доклад).</w:t>
      </w:r>
    </w:p>
    <w:p>
      <w:pPr>
        <w:pStyle w:val="0"/>
        <w:spacing w:before="200" w:line-rule="auto"/>
        <w:ind w:firstLine="540"/>
        <w:jc w:val="both"/>
      </w:pPr>
      <w:r>
        <w:rPr>
          <w:sz w:val="20"/>
        </w:rPr>
        <w:t xml:space="preserve">20. Проект доклада размещается на официальном сайте Федерального агентства по техническому регулированию и метрологии в сети "Интернет" для прохождения процедуры его публичного обсуждения в течение 1 месяца со дня размещения.</w:t>
      </w:r>
    </w:p>
    <w:p>
      <w:pPr>
        <w:pStyle w:val="0"/>
        <w:spacing w:before="200" w:line-rule="auto"/>
        <w:ind w:firstLine="540"/>
        <w:jc w:val="both"/>
      </w:pPr>
      <w:r>
        <w:rPr>
          <w:sz w:val="20"/>
        </w:rPr>
        <w:t xml:space="preserve">21. Доклад утверждается приказом руководителя Федерального агентства по техническому регулированию и метрологии и размещается на официальном сайте Агентства в сети "Интернет" в течение 5 рабочих дней со дня его утверждения, но не позднее 1 апреля года, следующего за отчетным годом.</w:t>
      </w:r>
    </w:p>
    <w:bookmarkStart w:id="141" w:name="P141"/>
    <w:bookmarkEnd w:id="141"/>
    <w:p>
      <w:pPr>
        <w:pStyle w:val="0"/>
        <w:spacing w:before="200" w:line-rule="auto"/>
        <w:ind w:firstLine="540"/>
        <w:jc w:val="both"/>
      </w:pPr>
      <w:r>
        <w:rPr>
          <w:sz w:val="20"/>
        </w:rPr>
        <w:t xml:space="preserve">22. В случае наличия у Федерального агентства по техническому регулированию и метрологии или его территориальных органов сведений о готовящихся нарушениях обязательных требований в сфере государственного регулирования обеспечения единства измерений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Федеральное агентство по техническому регулированию и метрологии или его территориальный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23. Решение об объявлении предостережения принимает руководитель (заместитель руководителя) Федерального агентства по техническому регулированию и метрологии, его территориального органа или иное уполномоченное приказом Агентства или его территориального органа должностное лицо на основании предложений должностного лица при наличии сведений, указанных в </w:t>
      </w:r>
      <w:hyperlink w:history="0" w:anchor="P141" w:tooltip="22. В случае наличия у Федерального агентства по техническому регулированию и метрологии или его территориальных органов сведений о готовящихся нарушениях обязательных требований в сфере государственного регулирования обеспечения единства измере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
        <w:r>
          <w:rPr>
            <w:sz w:val="20"/>
            <w:color w:val="0000ff"/>
          </w:rPr>
          <w:t xml:space="preserve">пункте 22</w:t>
        </w:r>
      </w:hyperlink>
      <w:r>
        <w:rPr>
          <w:sz w:val="20"/>
        </w:rPr>
        <w:t xml:space="preserve"> настоящего Положения.</w:t>
      </w:r>
    </w:p>
    <w:p>
      <w:pPr>
        <w:pStyle w:val="0"/>
        <w:spacing w:before="200" w:line-rule="auto"/>
        <w:ind w:firstLine="540"/>
        <w:jc w:val="both"/>
      </w:pPr>
      <w:r>
        <w:rPr>
          <w:sz w:val="20"/>
        </w:rPr>
        <w:t xml:space="preserve">24. Предостережение не может содержать требования о представлении контролируемым лицом сведений и документов.</w:t>
      </w:r>
    </w:p>
    <w:p>
      <w:pPr>
        <w:pStyle w:val="0"/>
        <w:spacing w:before="200" w:line-rule="auto"/>
        <w:ind w:firstLine="540"/>
        <w:jc w:val="both"/>
      </w:pPr>
      <w:r>
        <w:rPr>
          <w:sz w:val="20"/>
        </w:rPr>
        <w:t xml:space="preserve">25. Предостережение направляется контролируемому лицу в порядке, предусмотренном Федеральным </w:t>
      </w:r>
      <w:hyperlink w:history="0" r:id="rId4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26. По результатам рассмотрения предостережения контролируемым лицом в течение 30 календарных дней со дня получения предостережения могут быть поданы в Федеральное агентство по техническому регулированию и метрологии или его территориальный орган, направивший предостережение, возражения в отношении указанного предостережения.</w:t>
      </w:r>
    </w:p>
    <w:p>
      <w:pPr>
        <w:pStyle w:val="0"/>
        <w:spacing w:before="200" w:line-rule="auto"/>
        <w:ind w:firstLine="540"/>
        <w:jc w:val="both"/>
      </w:pPr>
      <w:r>
        <w:rPr>
          <w:sz w:val="20"/>
        </w:rPr>
        <w:t xml:space="preserve">27. В возражениях указываются:</w:t>
      </w:r>
    </w:p>
    <w:p>
      <w:pPr>
        <w:pStyle w:val="0"/>
        <w:spacing w:before="200" w:line-rule="auto"/>
        <w:ind w:firstLine="540"/>
        <w:jc w:val="both"/>
      </w:pPr>
      <w:r>
        <w:rPr>
          <w:sz w:val="20"/>
        </w:rPr>
        <w:t xml:space="preserve">а) наименование юридического лица, фамилия, имя, отчество (при наличии) индивидуального предпринимателя;</w:t>
      </w:r>
    </w:p>
    <w:p>
      <w:pPr>
        <w:pStyle w:val="0"/>
        <w:spacing w:before="200" w:line-rule="auto"/>
        <w:ind w:firstLine="540"/>
        <w:jc w:val="both"/>
      </w:pPr>
      <w:r>
        <w:rPr>
          <w:sz w:val="20"/>
        </w:rPr>
        <w:t xml:space="preserve">б) идентификационный номер налогоплательщика - контролируемого лица;</w:t>
      </w:r>
    </w:p>
    <w:p>
      <w:pPr>
        <w:pStyle w:val="0"/>
        <w:spacing w:before="200" w:line-rule="auto"/>
        <w:ind w:firstLine="540"/>
        <w:jc w:val="both"/>
      </w:pPr>
      <w:r>
        <w:rPr>
          <w:sz w:val="20"/>
        </w:rPr>
        <w:t xml:space="preserve">в) дата и номер предостережения, направленного в адрес контролируемого лица;</w:t>
      </w:r>
    </w:p>
    <w:p>
      <w:pPr>
        <w:pStyle w:val="0"/>
        <w:spacing w:before="200" w:line-rule="auto"/>
        <w:ind w:firstLine="540"/>
        <w:jc w:val="both"/>
      </w:pPr>
      <w:r>
        <w:rPr>
          <w:sz w:val="20"/>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28. Возражения направляются контролируемым лицом в бумажном виде почтовым отправлением в Федеральное агентство по техническому регулированию и метрологии или его территориальный орган либо в форме электронного документа, оформленного в соответствии со </w:t>
      </w:r>
      <w:hyperlink w:history="0" r:id="rId5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21</w:t>
        </w:r>
      </w:hyperlink>
      <w:r>
        <w:rPr>
          <w:sz w:val="20"/>
        </w:rPr>
        <w:t xml:space="preserve">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Федерального агентства по техническому регулированию и метрологии или его территориального органа, либо иными указанными в предостережении способами.</w:t>
      </w:r>
    </w:p>
    <w:p>
      <w:pPr>
        <w:pStyle w:val="0"/>
        <w:spacing w:before="200" w:line-rule="auto"/>
        <w:ind w:firstLine="540"/>
        <w:jc w:val="both"/>
      </w:pPr>
      <w:r>
        <w:rPr>
          <w:sz w:val="20"/>
        </w:rPr>
        <w:t xml:space="preserve">29. Федеральное агентство по техническому регулированию и метрологии или его территориальный орган по итогам рассмотрения возражения направляет контролируемому лицу ответ в течение 20 рабочих дней со дня получения возражений.</w:t>
      </w:r>
    </w:p>
    <w:p>
      <w:pPr>
        <w:pStyle w:val="0"/>
        <w:spacing w:before="200" w:line-rule="auto"/>
        <w:ind w:firstLine="540"/>
        <w:jc w:val="both"/>
      </w:pPr>
      <w:r>
        <w:rPr>
          <w:sz w:val="20"/>
        </w:rPr>
        <w:t xml:space="preserve">30. Результаты рассмотрения возражений используются Федеральным агентством по техническому регулированию и метрологии или его территориальным органом для целей организации и проведения мероприятий по профилактике нарушения обязательных требований, совершенствования системы управления рисками при организации надзора и иных целей, не связанных с ограничением прав и свобод контролируемых лиц.</w:t>
      </w:r>
    </w:p>
    <w:p>
      <w:pPr>
        <w:pStyle w:val="0"/>
        <w:spacing w:before="200" w:line-rule="auto"/>
        <w:ind w:firstLine="540"/>
        <w:jc w:val="both"/>
      </w:pPr>
      <w:r>
        <w:rPr>
          <w:sz w:val="20"/>
        </w:rPr>
        <w:t xml:space="preserve">31. В целях определения уровня соблюдения контролируемыми лицами обязательных требований контролируемые лица могут самостоятельно оценить соблюдение ими обязательных требований. 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Срок действия декларации соблюдения обязательных требований составляет 1 год с момента регистрации указанной декларации Федеральным агентством по техническому регулированию и метрологии или его территориальным органом.</w:t>
      </w:r>
    </w:p>
    <w:p>
      <w:pPr>
        <w:pStyle w:val="0"/>
        <w:spacing w:before="200" w:line-rule="auto"/>
        <w:ind w:firstLine="540"/>
        <w:jc w:val="both"/>
      </w:pPr>
      <w:r>
        <w:rPr>
          <w:sz w:val="20"/>
        </w:rPr>
        <w:t xml:space="preserve">В случае, определенном </w:t>
      </w:r>
      <w:hyperlink w:history="0" r:id="rId5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8 статьи 51</w:t>
        </w:r>
      </w:hyperlink>
      <w:r>
        <w:rPr>
          <w:sz w:val="20"/>
        </w:rPr>
        <w:t xml:space="preserve"> Федерального закона "О государственном контроле (надзоре) и муниципальном контроле в Российской Федерации", контролируемое лицо может вновь принять декларацию соблюдения обязательных требований по результатам самообследования по истечении 3 лет со дня ее аннулирования решением, принимаемым по результатам контрольного (надзорного) мероприятия.</w:t>
      </w:r>
    </w:p>
    <w:p>
      <w:pPr>
        <w:pStyle w:val="0"/>
        <w:spacing w:before="200" w:line-rule="auto"/>
        <w:ind w:firstLine="540"/>
        <w:jc w:val="both"/>
      </w:pPr>
      <w:r>
        <w:rPr>
          <w:sz w:val="20"/>
        </w:rPr>
        <w:t xml:space="preserve">32.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33. Решение о проведении профилактического визита принимается руководителем (заместителем руководителя) Федерального агентства по техническому регулированию и метрологии, его территориального органа на основании мотивированного представления должностного лица.</w:t>
      </w:r>
    </w:p>
    <w:p>
      <w:pPr>
        <w:pStyle w:val="0"/>
        <w:spacing w:before="200" w:line-rule="auto"/>
        <w:ind w:firstLine="540"/>
        <w:jc w:val="both"/>
      </w:pPr>
      <w:r>
        <w:rPr>
          <w:sz w:val="20"/>
        </w:rPr>
        <w:t xml:space="preserve">34. Срок проведения профилактического визита, в том числе обязательного, составляет 1 рабочий день.</w:t>
      </w:r>
    </w:p>
    <w:p>
      <w:pPr>
        <w:pStyle w:val="0"/>
        <w:spacing w:before="200" w:line-rule="auto"/>
        <w:ind w:firstLine="540"/>
        <w:jc w:val="both"/>
      </w:pPr>
      <w:r>
        <w:rPr>
          <w:sz w:val="20"/>
        </w:rPr>
        <w:t xml:space="preserve">35. В ходе профилактического визита должностными лицами может осуществляться сбор сведений, необходимых для отнесения объектов надзора к категориям риска, в том числе:</w:t>
      </w:r>
    </w:p>
    <w:p>
      <w:pPr>
        <w:pStyle w:val="0"/>
        <w:spacing w:before="200" w:line-rule="auto"/>
        <w:ind w:firstLine="540"/>
        <w:jc w:val="both"/>
      </w:pPr>
      <w:r>
        <w:rPr>
          <w:sz w:val="20"/>
        </w:rPr>
        <w:t xml:space="preserve">а) сведения о выполняемых измерениях в сфере государственного регулирования обеспечения единства измерений;</w:t>
      </w:r>
    </w:p>
    <w:p>
      <w:pPr>
        <w:pStyle w:val="0"/>
        <w:spacing w:before="200" w:line-rule="auto"/>
        <w:ind w:firstLine="540"/>
        <w:jc w:val="both"/>
      </w:pPr>
      <w:r>
        <w:rPr>
          <w:sz w:val="20"/>
        </w:rPr>
        <w:t xml:space="preserve">б) сведения о применяемых в сфере государственного регулирования обеспечения единства измерений средств измерений, стандартных образцов, эталонов единиц величин, методик (методов) измерений (при наличии).</w:t>
      </w:r>
    </w:p>
    <w:p>
      <w:pPr>
        <w:pStyle w:val="0"/>
        <w:spacing w:before="200" w:line-rule="auto"/>
        <w:ind w:firstLine="540"/>
        <w:jc w:val="both"/>
      </w:pPr>
      <w:r>
        <w:rPr>
          <w:sz w:val="20"/>
        </w:rPr>
        <w:t xml:space="preserve">36. По результатам профилактического визита должностное лицо, проводившее профилактический визит, представляет лицу, принявшему решение о проведении профилактического визита, информацию о проведенном профилактическом визите.</w:t>
      </w:r>
    </w:p>
    <w:p>
      <w:pPr>
        <w:pStyle w:val="0"/>
        <w:spacing w:before="200" w:line-rule="auto"/>
        <w:ind w:firstLine="540"/>
        <w:jc w:val="both"/>
      </w:pPr>
      <w:r>
        <w:rPr>
          <w:sz w:val="20"/>
        </w:rPr>
        <w:t xml:space="preserve">37. Информация о проведенном профилактическом визите в случае необходимости может содержать предложения по дальнейшим действиям, направленным на обеспечение соблюдения обязательных требований.</w:t>
      </w:r>
    </w:p>
    <w:p>
      <w:pPr>
        <w:pStyle w:val="0"/>
        <w:spacing w:before="200" w:line-rule="auto"/>
        <w:ind w:firstLine="540"/>
        <w:jc w:val="both"/>
      </w:pPr>
      <w:r>
        <w:rPr>
          <w:sz w:val="20"/>
        </w:rPr>
        <w:t xml:space="preserve">38. Контролируемое лицо по письменному запросу вправе получить информацию о проведенном профилактическом визите.</w:t>
      </w:r>
    </w:p>
    <w:p>
      <w:pPr>
        <w:pStyle w:val="0"/>
        <w:spacing w:before="200" w:line-rule="auto"/>
        <w:ind w:firstLine="540"/>
        <w:jc w:val="both"/>
      </w:pPr>
      <w:r>
        <w:rPr>
          <w:sz w:val="20"/>
        </w:rPr>
        <w:t xml:space="preserve">39. Обязательные профилактические визиты проводятся должностными лицами в отношении контролируемых лиц, приступающих к осуществлению деятельности, указанной в </w:t>
      </w:r>
      <w:hyperlink w:history="0" w:anchor="P101" w:tooltip="а) деятельность контролируемых лиц по выпуску в обращение или обращению средств измерений утвержденного типа, стандартных образцов утвержденного типа или эталонов единиц величин;">
        <w:r>
          <w:rPr>
            <w:sz w:val="20"/>
            <w:color w:val="0000ff"/>
          </w:rPr>
          <w:t xml:space="preserve">подпункте "а" пункта 9</w:t>
        </w:r>
      </w:hyperlink>
      <w:r>
        <w:rPr>
          <w:sz w:val="20"/>
        </w:rPr>
        <w:t xml:space="preserve"> настоящего Положения, а также ежегодно в отношении объектов надзора, отнесенных в соответствии с </w:t>
      </w:r>
      <w:hyperlink w:history="0" w:anchor="P290" w:tooltip="КРИТЕРИИ">
        <w:r>
          <w:rPr>
            <w:sz w:val="20"/>
            <w:color w:val="0000ff"/>
          </w:rPr>
          <w:t xml:space="preserve">приложением N 1</w:t>
        </w:r>
      </w:hyperlink>
      <w:r>
        <w:rPr>
          <w:sz w:val="20"/>
        </w:rPr>
        <w:t xml:space="preserve"> к настоящему Положению к категориям высокого и значительного риска.</w:t>
      </w:r>
    </w:p>
    <w:p>
      <w:pPr>
        <w:pStyle w:val="0"/>
        <w:spacing w:before="200" w:line-rule="auto"/>
        <w:ind w:firstLine="540"/>
        <w:jc w:val="both"/>
      </w:pPr>
      <w:r>
        <w:rPr>
          <w:sz w:val="20"/>
        </w:rPr>
        <w:t xml:space="preserve">40. О проведении профилактического визита, в том числе обязательного, контролируемое лицо должно быть уведомлено должностным лицом не позднее чем за 5 рабочих дней до даты его проведения путем направления копии решения о проведении профилактического визита посредством почтовой связи или электронной почтой по адресу, сведения о котором представлены контролируемым лицом.</w:t>
      </w:r>
    </w:p>
    <w:p>
      <w:pPr>
        <w:pStyle w:val="0"/>
        <w:jc w:val="both"/>
      </w:pPr>
      <w:r>
        <w:rPr>
          <w:sz w:val="20"/>
        </w:rPr>
      </w:r>
    </w:p>
    <w:p>
      <w:pPr>
        <w:pStyle w:val="2"/>
        <w:outlineLvl w:val="1"/>
        <w:jc w:val="center"/>
      </w:pPr>
      <w:r>
        <w:rPr>
          <w:sz w:val="20"/>
        </w:rPr>
        <w:t xml:space="preserve">V. Контрольные (надзорные) мероприятия, проведение</w:t>
      </w:r>
    </w:p>
    <w:p>
      <w:pPr>
        <w:pStyle w:val="2"/>
        <w:jc w:val="center"/>
      </w:pPr>
      <w:r>
        <w:rPr>
          <w:sz w:val="20"/>
        </w:rPr>
        <w:t xml:space="preserve">которых возможно в рамках осуществления надзора, и перечень</w:t>
      </w:r>
    </w:p>
    <w:p>
      <w:pPr>
        <w:pStyle w:val="2"/>
        <w:jc w:val="center"/>
      </w:pPr>
      <w:r>
        <w:rPr>
          <w:sz w:val="20"/>
        </w:rPr>
        <w:t xml:space="preserve">допустимых контрольных (надзорных) действий в составе</w:t>
      </w:r>
    </w:p>
    <w:p>
      <w:pPr>
        <w:pStyle w:val="2"/>
        <w:jc w:val="center"/>
      </w:pPr>
      <w:r>
        <w:rPr>
          <w:sz w:val="20"/>
        </w:rPr>
        <w:t xml:space="preserve">каждого контрольного (надзорного) мероприятия</w:t>
      </w:r>
    </w:p>
    <w:p>
      <w:pPr>
        <w:pStyle w:val="0"/>
        <w:jc w:val="both"/>
      </w:pPr>
      <w:r>
        <w:rPr>
          <w:sz w:val="20"/>
        </w:rPr>
      </w:r>
    </w:p>
    <w:p>
      <w:pPr>
        <w:pStyle w:val="0"/>
        <w:ind w:firstLine="540"/>
        <w:jc w:val="both"/>
      </w:pPr>
      <w:r>
        <w:rPr>
          <w:sz w:val="20"/>
        </w:rPr>
        <w:t xml:space="preserve">41. При осуществлении надзора должностными лицами проводятся контрольные (надзорные) мероприятия и совершаются контрольные (надзорные) действия согласно </w:t>
      </w:r>
      <w:hyperlink w:history="0" w:anchor="P382" w:tooltip="ВИДЫ">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42. При осуществлении надзора проводятся следующие контрольные (надзорные) мероприятия:</w:t>
      </w:r>
    </w:p>
    <w:p>
      <w:pPr>
        <w:pStyle w:val="0"/>
        <w:spacing w:before="200" w:line-rule="auto"/>
        <w:ind w:firstLine="540"/>
        <w:jc w:val="both"/>
      </w:pPr>
      <w:r>
        <w:rPr>
          <w:sz w:val="20"/>
        </w:rPr>
        <w:t xml:space="preserve">а) мониторинговая закупка;</w:t>
      </w:r>
    </w:p>
    <w:p>
      <w:pPr>
        <w:pStyle w:val="0"/>
        <w:spacing w:before="200" w:line-rule="auto"/>
        <w:ind w:firstLine="540"/>
        <w:jc w:val="both"/>
      </w:pPr>
      <w:r>
        <w:rPr>
          <w:sz w:val="20"/>
        </w:rPr>
        <w:t xml:space="preserve">б) инспекционный визит;</w:t>
      </w:r>
    </w:p>
    <w:p>
      <w:pPr>
        <w:pStyle w:val="0"/>
        <w:spacing w:before="200" w:line-rule="auto"/>
        <w:ind w:firstLine="540"/>
        <w:jc w:val="both"/>
      </w:pPr>
      <w:r>
        <w:rPr>
          <w:sz w:val="20"/>
        </w:rPr>
        <w:t xml:space="preserve">в) рейдовый осмотр;</w:t>
      </w:r>
    </w:p>
    <w:p>
      <w:pPr>
        <w:pStyle w:val="0"/>
        <w:spacing w:before="200" w:line-rule="auto"/>
        <w:ind w:firstLine="540"/>
        <w:jc w:val="both"/>
      </w:pPr>
      <w:r>
        <w:rPr>
          <w:sz w:val="20"/>
        </w:rPr>
        <w:t xml:space="preserve">г) документарная проверка;</w:t>
      </w:r>
    </w:p>
    <w:p>
      <w:pPr>
        <w:pStyle w:val="0"/>
        <w:spacing w:before="200" w:line-rule="auto"/>
        <w:ind w:firstLine="540"/>
        <w:jc w:val="both"/>
      </w:pPr>
      <w:r>
        <w:rPr>
          <w:sz w:val="20"/>
        </w:rPr>
        <w:t xml:space="preserve">д) выездная проверка.</w:t>
      </w:r>
    </w:p>
    <w:p>
      <w:pPr>
        <w:pStyle w:val="0"/>
        <w:spacing w:before="200" w:line-rule="auto"/>
        <w:ind w:firstLine="540"/>
        <w:jc w:val="both"/>
      </w:pPr>
      <w:r>
        <w:rPr>
          <w:sz w:val="20"/>
        </w:rPr>
        <w:t xml:space="preserve">43. При осуществлении надзора без взаимодействия с контролируемым лицом проводится выездное обследование.</w:t>
      </w:r>
    </w:p>
    <w:p>
      <w:pPr>
        <w:pStyle w:val="0"/>
        <w:spacing w:before="200" w:line-rule="auto"/>
        <w:ind w:firstLine="540"/>
        <w:jc w:val="both"/>
      </w:pPr>
      <w:r>
        <w:rPr>
          <w:sz w:val="20"/>
        </w:rPr>
        <w:t xml:space="preserve">44. Виды и периодичность проведения плановых контрольных (надзорных) мероприятий для каждой категории риска при осуществлении надзора определяются следующим образом:</w:t>
      </w:r>
    </w:p>
    <w:p>
      <w:pPr>
        <w:pStyle w:val="0"/>
        <w:spacing w:before="200" w:line-rule="auto"/>
        <w:ind w:firstLine="540"/>
        <w:jc w:val="both"/>
      </w:pPr>
      <w:r>
        <w:rPr>
          <w:sz w:val="20"/>
        </w:rPr>
        <w:t xml:space="preserve">а) при высокой категории риска - 1 раз в 2 года:</w:t>
      </w:r>
    </w:p>
    <w:p>
      <w:pPr>
        <w:pStyle w:val="0"/>
        <w:spacing w:before="200" w:line-rule="auto"/>
        <w:ind w:firstLine="540"/>
        <w:jc w:val="both"/>
      </w:pPr>
      <w:r>
        <w:rPr>
          <w:sz w:val="20"/>
        </w:rPr>
        <w:t xml:space="preserve">мониторинговая закупка;</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б) при значительной категории риска - 1 раз в 3 года:</w:t>
      </w:r>
    </w:p>
    <w:p>
      <w:pPr>
        <w:pStyle w:val="0"/>
        <w:jc w:val="both"/>
      </w:pPr>
      <w:r>
        <w:rPr>
          <w:sz w:val="20"/>
        </w:rPr>
        <w:t xml:space="preserve">(в ред. </w:t>
      </w:r>
      <w:hyperlink w:history="0" r:id="rId52" w:tooltip="Постановление Правительства РФ от 20.04.2022 N 710 &quot;О внесении изменения в пункт 44 Положения о федеральном государственном метрологическом контроле (надзоре)&quot; {КонсультантПлюс}">
        <w:r>
          <w:rPr>
            <w:sz w:val="20"/>
            <w:color w:val="0000ff"/>
          </w:rPr>
          <w:t xml:space="preserve">Постановления</w:t>
        </w:r>
      </w:hyperlink>
      <w:r>
        <w:rPr>
          <w:sz w:val="20"/>
        </w:rPr>
        <w:t xml:space="preserve"> Правительства РФ от 20.04.2022 N 710)</w:t>
      </w:r>
    </w:p>
    <w:p>
      <w:pPr>
        <w:pStyle w:val="0"/>
        <w:spacing w:before="200" w:line-rule="auto"/>
        <w:ind w:firstLine="540"/>
        <w:jc w:val="both"/>
      </w:pPr>
      <w:r>
        <w:rPr>
          <w:sz w:val="20"/>
        </w:rPr>
        <w:t xml:space="preserve">мониторинговая закупка;</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 при средней категории риска - 1 раз в 4 года:</w:t>
      </w:r>
    </w:p>
    <w:p>
      <w:pPr>
        <w:pStyle w:val="0"/>
        <w:spacing w:before="200" w:line-rule="auto"/>
        <w:ind w:firstLine="540"/>
        <w:jc w:val="both"/>
      </w:pPr>
      <w:r>
        <w:rPr>
          <w:sz w:val="20"/>
        </w:rPr>
        <w:t xml:space="preserve">мониторинговая закупка;</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г) при умеренной категории риска - 1 раз в 5 лет:</w:t>
      </w:r>
    </w:p>
    <w:p>
      <w:pPr>
        <w:pStyle w:val="0"/>
        <w:spacing w:before="200" w:line-rule="auto"/>
        <w:ind w:firstLine="540"/>
        <w:jc w:val="both"/>
      </w:pPr>
      <w:r>
        <w:rPr>
          <w:sz w:val="20"/>
        </w:rPr>
        <w:t xml:space="preserve">мониторинговая закупка;</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д) при низкой категории риска - плановые контрольные (надзорные) мероприятия не проводятся.</w:t>
      </w:r>
    </w:p>
    <w:p>
      <w:pPr>
        <w:pStyle w:val="0"/>
        <w:spacing w:before="200" w:line-rule="auto"/>
        <w:ind w:firstLine="540"/>
        <w:jc w:val="both"/>
      </w:pPr>
      <w:r>
        <w:rPr>
          <w:sz w:val="20"/>
        </w:rPr>
        <w:t xml:space="preserve">45. Конкретное контрольное (надзорное) мероприятие и перечень контрольных (надзорных) действий, совершаемых в рамках указанного контрольного (надзорного) мероприятия, указываются в приказе Федерального агентства по техническому регулированию и метрологии или его территориального органа о проведении контрольного (надзорного) мероприятия.</w:t>
      </w:r>
    </w:p>
    <w:p>
      <w:pPr>
        <w:pStyle w:val="0"/>
        <w:jc w:val="both"/>
      </w:pPr>
      <w:r>
        <w:rPr>
          <w:sz w:val="20"/>
        </w:rPr>
      </w:r>
    </w:p>
    <w:p>
      <w:pPr>
        <w:pStyle w:val="2"/>
        <w:outlineLvl w:val="1"/>
        <w:jc w:val="center"/>
      </w:pPr>
      <w:r>
        <w:rPr>
          <w:sz w:val="20"/>
        </w:rPr>
        <w:t xml:space="preserve">VI. Организация и проведение контрольных (надзорных)</w:t>
      </w:r>
    </w:p>
    <w:p>
      <w:pPr>
        <w:pStyle w:val="2"/>
        <w:jc w:val="center"/>
      </w:pPr>
      <w:r>
        <w:rPr>
          <w:sz w:val="20"/>
        </w:rPr>
        <w:t xml:space="preserve">мероприятий, совершение контрольных (надзорных) действий</w:t>
      </w:r>
    </w:p>
    <w:p>
      <w:pPr>
        <w:pStyle w:val="0"/>
        <w:jc w:val="both"/>
      </w:pPr>
      <w:r>
        <w:rPr>
          <w:sz w:val="20"/>
        </w:rPr>
      </w:r>
    </w:p>
    <w:p>
      <w:pPr>
        <w:pStyle w:val="0"/>
        <w:ind w:firstLine="540"/>
        <w:jc w:val="both"/>
      </w:pPr>
      <w:r>
        <w:rPr>
          <w:sz w:val="20"/>
        </w:rPr>
        <w:t xml:space="preserve">46. Приказ Федерального агентства по техническому регулированию и метрологии или его территориального органа о проведении контрольного (надзорного) мероприятия должен содержать информацию, указанную в </w:t>
      </w:r>
      <w:hyperlink w:history="0" r:id="rId5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части 1 статьи 64</w:t>
        </w:r>
      </w:hyperlink>
      <w:r>
        <w:rPr>
          <w:sz w:val="20"/>
        </w:rPr>
        <w:t xml:space="preserve"> Федерального закона "О государственном контроле (надзоре) и муниципальном контроле в Российской Федерации", настоящем Положении, в том числе указание способа фиксации доказательств (при использовании).</w:t>
      </w:r>
    </w:p>
    <w:p>
      <w:pPr>
        <w:pStyle w:val="0"/>
        <w:spacing w:before="200" w:line-rule="auto"/>
        <w:ind w:firstLine="540"/>
        <w:jc w:val="both"/>
      </w:pPr>
      <w:r>
        <w:rPr>
          <w:sz w:val="20"/>
        </w:rPr>
        <w:t xml:space="preserve">47. Для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случаях проведения:</w:t>
      </w:r>
    </w:p>
    <w:p>
      <w:pPr>
        <w:pStyle w:val="0"/>
        <w:spacing w:before="200" w:line-rule="auto"/>
        <w:ind w:firstLine="540"/>
        <w:jc w:val="both"/>
      </w:pPr>
      <w:r>
        <w:rPr>
          <w:sz w:val="20"/>
        </w:rPr>
        <w:t xml:space="preserve">а) мониторинговой закупки;</w:t>
      </w:r>
    </w:p>
    <w:p>
      <w:pPr>
        <w:pStyle w:val="0"/>
        <w:spacing w:before="200" w:line-rule="auto"/>
        <w:ind w:firstLine="540"/>
        <w:jc w:val="both"/>
      </w:pPr>
      <w:r>
        <w:rPr>
          <w:sz w:val="20"/>
        </w:rPr>
        <w:t xml:space="preserve">б) инспекционного визита;</w:t>
      </w:r>
    </w:p>
    <w:p>
      <w:pPr>
        <w:pStyle w:val="0"/>
        <w:spacing w:before="200" w:line-rule="auto"/>
        <w:ind w:firstLine="540"/>
        <w:jc w:val="both"/>
      </w:pPr>
      <w:r>
        <w:rPr>
          <w:sz w:val="20"/>
        </w:rPr>
        <w:t xml:space="preserve">в) рейдового осмотра;</w:t>
      </w:r>
    </w:p>
    <w:p>
      <w:pPr>
        <w:pStyle w:val="0"/>
        <w:spacing w:before="200" w:line-rule="auto"/>
        <w:ind w:firstLine="540"/>
        <w:jc w:val="both"/>
      </w:pPr>
      <w:r>
        <w:rPr>
          <w:sz w:val="20"/>
        </w:rPr>
        <w:t xml:space="preserve">г) выездной проверки.</w:t>
      </w:r>
    </w:p>
    <w:p>
      <w:pPr>
        <w:pStyle w:val="0"/>
        <w:spacing w:before="200" w:line-rule="auto"/>
        <w:ind w:firstLine="540"/>
        <w:jc w:val="both"/>
      </w:pPr>
      <w:r>
        <w:rPr>
          <w:sz w:val="20"/>
        </w:rPr>
        <w:t xml:space="preserve">48. В обязательном порядке для доказательства нарушений обязательных требований используется фотосъемка, аудио- и видеозапись, иные способы фиксации доказательств в случае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
    <w:p>
      <w:pPr>
        <w:pStyle w:val="0"/>
        <w:spacing w:before="200" w:line-rule="auto"/>
        <w:ind w:firstLine="540"/>
        <w:jc w:val="both"/>
      </w:pPr>
      <w:r>
        <w:rPr>
          <w:sz w:val="20"/>
        </w:rPr>
        <w:t xml:space="preserve">49. В случае, 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Материалы фотографирования, аудио- и (или) видеозаписи прилагаются к материалам контрольного (надзорного) мероприятия.</w:t>
      </w:r>
    </w:p>
    <w:p>
      <w:pPr>
        <w:pStyle w:val="0"/>
        <w:spacing w:before="200" w:line-rule="auto"/>
        <w:ind w:firstLine="540"/>
        <w:jc w:val="both"/>
      </w:pPr>
      <w:r>
        <w:rPr>
          <w:sz w:val="20"/>
        </w:rPr>
        <w:t xml:space="preserve">Проведение фотосъемки, аудио- и видеозаписи осуществляется с обязательным уведомлением контролируемого лица.</w:t>
      </w:r>
    </w:p>
    <w:p>
      <w:pPr>
        <w:pStyle w:val="0"/>
        <w:spacing w:before="200" w:line-rule="auto"/>
        <w:ind w:firstLine="540"/>
        <w:jc w:val="both"/>
      </w:pPr>
      <w:r>
        <w:rPr>
          <w:sz w:val="20"/>
        </w:rPr>
        <w:t xml:space="preserve">Для фиксации доказательств могут быть использованы любые имеющиеся в распоряжении технические средства фотосъемки, аудио- и видеозаписи.</w:t>
      </w:r>
    </w:p>
    <w:p>
      <w:pPr>
        <w:pStyle w:val="0"/>
        <w:spacing w:before="200" w:line-rule="auto"/>
        <w:ind w:firstLine="540"/>
        <w:jc w:val="both"/>
      </w:pPr>
      <w:r>
        <w:rPr>
          <w:sz w:val="20"/>
        </w:rPr>
        <w:t xml:space="preserve">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pPr>
        <w:pStyle w:val="0"/>
        <w:spacing w:before="200" w:line-rule="auto"/>
        <w:ind w:firstLine="540"/>
        <w:jc w:val="both"/>
      </w:pPr>
      <w:r>
        <w:rPr>
          <w:sz w:val="20"/>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0"/>
        <w:spacing w:before="200" w:line-rule="auto"/>
        <w:ind w:firstLine="540"/>
        <w:jc w:val="both"/>
      </w:pPr>
      <w:r>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50. После объявления о проведении мониторинговой закупки должностное лицо на месте составляет протокол о проведении мониторинговой закупки и направлении продукции (товаров) на инструментальное обследование, испытание или экспертизу (далее - протокол мониторинговой закупки).</w:t>
      </w:r>
    </w:p>
    <w:p>
      <w:pPr>
        <w:pStyle w:val="0"/>
        <w:spacing w:before="200" w:line-rule="auto"/>
        <w:ind w:firstLine="540"/>
        <w:jc w:val="both"/>
      </w:pPr>
      <w:r>
        <w:rPr>
          <w:sz w:val="20"/>
        </w:rPr>
        <w:t xml:space="preserve">51. Протокол мониторинговой закупки составляется в 2 экземплярах и подписывается всеми лицами, принимающими участие в мониторинговой закупке, и приобщается к акту контрольного (надзорного) мероприятия.</w:t>
      </w:r>
    </w:p>
    <w:p>
      <w:pPr>
        <w:pStyle w:val="0"/>
        <w:spacing w:before="200" w:line-rule="auto"/>
        <w:ind w:firstLine="540"/>
        <w:jc w:val="both"/>
      </w:pPr>
      <w:r>
        <w:rPr>
          <w:sz w:val="20"/>
        </w:rPr>
        <w:t xml:space="preserve">В случае отказа контролируемого лица от подписания протокола мониторинговой закупки должностным лицом делается отметка об этом в протоколе мониторинговой закупки.</w:t>
      </w:r>
    </w:p>
    <w:p>
      <w:pPr>
        <w:pStyle w:val="0"/>
        <w:spacing w:before="200" w:line-rule="auto"/>
        <w:ind w:firstLine="540"/>
        <w:jc w:val="both"/>
      </w:pPr>
      <w:r>
        <w:rPr>
          <w:sz w:val="20"/>
        </w:rPr>
        <w:t xml:space="preserve">52. Экспертиза по результатам мониторинговой закупки осуществляется в соответствии со </w:t>
      </w:r>
      <w:hyperlink w:history="0" r:id="rId5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84</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53. Экспертиза проводится в следующем порядке:</w:t>
      </w:r>
    </w:p>
    <w:p>
      <w:pPr>
        <w:pStyle w:val="0"/>
        <w:spacing w:before="200" w:line-rule="auto"/>
        <w:ind w:firstLine="540"/>
        <w:jc w:val="both"/>
      </w:pPr>
      <w:r>
        <w:rPr>
          <w:sz w:val="20"/>
        </w:rPr>
        <w:t xml:space="preserve">а) отбор проб (образцов) продукции;</w:t>
      </w:r>
    </w:p>
    <w:p>
      <w:pPr>
        <w:pStyle w:val="0"/>
        <w:spacing w:before="200" w:line-rule="auto"/>
        <w:ind w:firstLine="540"/>
        <w:jc w:val="both"/>
      </w:pPr>
      <w:r>
        <w:rPr>
          <w:sz w:val="20"/>
        </w:rPr>
        <w:t xml:space="preserve">б) проведение исследования (испытаний) и измерений (необходимость их проведения устанавливается экспертом и (или) экспертной организацией);</w:t>
      </w:r>
    </w:p>
    <w:p>
      <w:pPr>
        <w:pStyle w:val="0"/>
        <w:spacing w:before="200" w:line-rule="auto"/>
        <w:ind w:firstLine="540"/>
        <w:jc w:val="both"/>
      </w:pPr>
      <w:r>
        <w:rPr>
          <w:sz w:val="20"/>
        </w:rPr>
        <w:t xml:space="preserve">в) проведение экспертизы отобранной пробы (образца) продукции;</w:t>
      </w:r>
    </w:p>
    <w:p>
      <w:pPr>
        <w:pStyle w:val="0"/>
        <w:spacing w:before="200" w:line-rule="auto"/>
        <w:ind w:firstLine="540"/>
        <w:jc w:val="both"/>
      </w:pPr>
      <w:r>
        <w:rPr>
          <w:sz w:val="20"/>
        </w:rPr>
        <w:t xml:space="preserve">г) оформление результатов проведения экспертизы и подписание экспертного заключения (в 3 экземплярах) экспертом и (или) экспертной организацией.</w:t>
      </w:r>
    </w:p>
    <w:p>
      <w:pPr>
        <w:pStyle w:val="0"/>
        <w:spacing w:before="200" w:line-rule="auto"/>
        <w:ind w:firstLine="540"/>
        <w:jc w:val="both"/>
      </w:pPr>
      <w:r>
        <w:rPr>
          <w:sz w:val="20"/>
        </w:rPr>
        <w:t xml:space="preserve">54. Экспертное заключение приобщается к акту контрольного (надзорного) мероприятия.</w:t>
      </w:r>
    </w:p>
    <w:p>
      <w:pPr>
        <w:pStyle w:val="0"/>
        <w:spacing w:before="200" w:line-rule="auto"/>
        <w:ind w:firstLine="540"/>
        <w:jc w:val="both"/>
      </w:pPr>
      <w:r>
        <w:rPr>
          <w:sz w:val="20"/>
        </w:rPr>
        <w:t xml:space="preserve">При невозможности транспортировки образца исследования к месту работы эксперта Федеральное агентство по техническому регулированию и метрологии или его территориальный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Место осуществления экспертизы определяется должностным лицом, которое проводит контрольное (надзорное) мероприятие.</w:t>
      </w:r>
    </w:p>
    <w:p>
      <w:pPr>
        <w:pStyle w:val="0"/>
        <w:spacing w:before="200" w:line-rule="auto"/>
        <w:ind w:firstLine="540"/>
        <w:jc w:val="both"/>
      </w:pPr>
      <w:r>
        <w:rPr>
          <w:sz w:val="20"/>
        </w:rPr>
        <w:t xml:space="preserve">55. В случае привлечения к мониторинговой закупке специалиста для проведения инструментального обследования протокол инструментального обследования составляется на месте этим специалистом.</w:t>
      </w:r>
    </w:p>
    <w:p>
      <w:pPr>
        <w:pStyle w:val="0"/>
        <w:spacing w:before="200" w:line-rule="auto"/>
        <w:ind w:firstLine="540"/>
        <w:jc w:val="both"/>
      </w:pPr>
      <w:r>
        <w:rPr>
          <w:sz w:val="20"/>
        </w:rPr>
        <w:t xml:space="preserve">56. В случае привлечения к мониторинговой закупке эксперта и (или) экспертной организации для проведения экспертизы экспертное заключение составляется ими.</w:t>
      </w:r>
    </w:p>
    <w:p>
      <w:pPr>
        <w:pStyle w:val="0"/>
        <w:spacing w:before="200" w:line-rule="auto"/>
        <w:ind w:firstLine="540"/>
        <w:jc w:val="both"/>
      </w:pPr>
      <w:r>
        <w:rPr>
          <w:sz w:val="20"/>
        </w:rPr>
        <w:t xml:space="preserve">57. При осуществлении рейдового осмотра или выездной проверки,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отбор проб (образцов) осуществляется должностным лицом, если иное не установлено соглашением (договором), заключаемым между Федеральным агентством по техническому регулированию и метрологии или его территориальным органом и специалистом, экспертом или экспертной организацией.</w:t>
      </w:r>
    </w:p>
    <w:p>
      <w:pPr>
        <w:pStyle w:val="0"/>
        <w:spacing w:before="200" w:line-rule="auto"/>
        <w:ind w:firstLine="540"/>
        <w:jc w:val="both"/>
      </w:pPr>
      <w:r>
        <w:rPr>
          <w:sz w:val="20"/>
        </w:rPr>
        <w:t xml:space="preserve">58. Отбор проб (образцов) продукции осуществляется в следующем порядке:</w:t>
      </w:r>
    </w:p>
    <w:p>
      <w:pPr>
        <w:pStyle w:val="0"/>
        <w:spacing w:before="200" w:line-rule="auto"/>
        <w:ind w:firstLine="540"/>
        <w:jc w:val="both"/>
      </w:pPr>
      <w:r>
        <w:rPr>
          <w:sz w:val="20"/>
        </w:rPr>
        <w:t xml:space="preserve">а) отбор пробы (образца) продукции;</w:t>
      </w:r>
    </w:p>
    <w:p>
      <w:pPr>
        <w:pStyle w:val="0"/>
        <w:spacing w:before="200" w:line-rule="auto"/>
        <w:ind w:firstLine="540"/>
        <w:jc w:val="both"/>
      </w:pPr>
      <w:r>
        <w:rPr>
          <w:sz w:val="20"/>
        </w:rPr>
        <w:t xml:space="preserve">б) оформление и подписание протокола отбора проб (образцов) продукции всеми участниками контрольного (надзорного) мероприятия.</w:t>
      </w:r>
    </w:p>
    <w:p>
      <w:pPr>
        <w:pStyle w:val="0"/>
        <w:spacing w:before="200" w:line-rule="auto"/>
        <w:ind w:firstLine="540"/>
        <w:jc w:val="both"/>
      </w:pPr>
      <w:r>
        <w:rPr>
          <w:sz w:val="20"/>
        </w:rPr>
        <w:t xml:space="preserve">59. Протокол отбора проб (образцов) составляется в 2 экземплярах и подписывается всеми лицами, принимающими участие в контрольном (надзорном) мероприятии, и приобщается к акту контрольного (надзорного) мероприятия.</w:t>
      </w:r>
    </w:p>
    <w:p>
      <w:pPr>
        <w:pStyle w:val="0"/>
        <w:spacing w:before="200" w:line-rule="auto"/>
        <w:ind w:firstLine="540"/>
        <w:jc w:val="both"/>
      </w:pPr>
      <w:r>
        <w:rPr>
          <w:sz w:val="20"/>
        </w:rPr>
        <w:t xml:space="preserve">60. Не могут быть отобраны пробы (образцы) продукции, не относящиеся к предмету надзора. Отбор проб (образцов) продукции осуществляется путем случайной выборки. При осуществлении надзора не может быть отобрано более 3 единиц образцов продукции по каждому типу средств измерений или типу стандартных образцов.</w:t>
      </w:r>
    </w:p>
    <w:p>
      <w:pPr>
        <w:pStyle w:val="0"/>
        <w:spacing w:before="200" w:line-rule="auto"/>
        <w:ind w:firstLine="540"/>
        <w:jc w:val="both"/>
      </w:pPr>
      <w:r>
        <w:rPr>
          <w:sz w:val="20"/>
        </w:rPr>
        <w:t xml:space="preserve">61. Срок проведения выездной проверки устанавливается в пределах 10 рабочих дней.</w:t>
      </w:r>
    </w:p>
    <w:p>
      <w:pPr>
        <w:pStyle w:val="0"/>
        <w:spacing w:before="200" w:line-rule="auto"/>
        <w:ind w:firstLine="540"/>
        <w:jc w:val="both"/>
      </w:pPr>
      <w:r>
        <w:rPr>
          <w:sz w:val="20"/>
        </w:rPr>
        <w:t xml:space="preserve">В отношении контролируемого лица, являющегося субъектом малого предпринимательства, общий срок взаимодействия в ходе проведения выездной проверки устанавливается в пределах 50 часов для малого предприятия и 15 часов для микропредприятия.</w:t>
      </w:r>
    </w:p>
    <w:p>
      <w:pPr>
        <w:pStyle w:val="0"/>
        <w:spacing w:before="200" w:line-rule="auto"/>
        <w:ind w:firstLine="540"/>
        <w:jc w:val="both"/>
      </w:pPr>
      <w:r>
        <w:rPr>
          <w:sz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в пределах 10 рабочих дней.</w:t>
      </w:r>
    </w:p>
    <w:p>
      <w:pPr>
        <w:pStyle w:val="0"/>
        <w:spacing w:before="200" w:line-rule="auto"/>
        <w:ind w:firstLine="540"/>
        <w:jc w:val="both"/>
      </w:pPr>
      <w:r>
        <w:rPr>
          <w:sz w:val="20"/>
        </w:rPr>
        <w:t xml:space="preserve">62. При необходимости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pPr>
        <w:pStyle w:val="0"/>
        <w:spacing w:before="200" w:line-rule="auto"/>
        <w:ind w:firstLine="540"/>
        <w:jc w:val="both"/>
      </w:pPr>
      <w:r>
        <w:rPr>
          <w:sz w:val="20"/>
        </w:rPr>
        <w:t xml:space="preserve">63. Обязанность отбора, удостоверения и представления на экспертизу образцов лежит на Федеральном агентстве по техническому регулированию и метрологии или его территориальном органе, если иное не установлено соглашением (договором), заключаемым между Федеральным агентством по техническому регулированию и метрологии или его территориальным органом и экспертом или экспертной организацией.</w:t>
      </w:r>
    </w:p>
    <w:p>
      <w:pPr>
        <w:pStyle w:val="0"/>
        <w:spacing w:before="200" w:line-rule="auto"/>
        <w:ind w:firstLine="540"/>
        <w:jc w:val="both"/>
      </w:pPr>
      <w:r>
        <w:rPr>
          <w:sz w:val="20"/>
        </w:rPr>
        <w:t xml:space="preserve">64.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r:id="rId5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статьями 39</w:t>
        </w:r>
      </w:hyperlink>
      <w:r>
        <w:rPr>
          <w:sz w:val="20"/>
        </w:rPr>
        <w:t xml:space="preserve"> - </w:t>
      </w:r>
      <w:hyperlink w:history="0" r:id="rId5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43</w:t>
        </w:r>
      </w:hyperlink>
      <w:r>
        <w:rPr>
          <w:sz w:val="20"/>
        </w:rPr>
        <w:t xml:space="preserve"> Федерального закона "О государственном контроле (надзоре) и муниципальном контроле в Российской Федерации".</w:t>
      </w:r>
    </w:p>
    <w:bookmarkStart w:id="244" w:name="P244"/>
    <w:bookmarkEnd w:id="244"/>
    <w:p>
      <w:pPr>
        <w:pStyle w:val="0"/>
        <w:spacing w:before="200" w:line-rule="auto"/>
        <w:ind w:firstLine="540"/>
        <w:jc w:val="both"/>
      </w:pPr>
      <w:r>
        <w:rPr>
          <w:sz w:val="20"/>
        </w:rPr>
        <w:t xml:space="preserve">65. В случае заблаговременного, но не позднее чем за 1 рабочий день до начала проведения контрольного (надзорного) мероприятия, получения Федеральным агентством по техническому регулированию и метрологии или его территориальным органом от индивидуального предпринимателя, в отношении которого проводится контрольное (надзорное) мероприятие, информации о невозможности присутствия при проведении контрольного (надзорного) мероприятия с приложением копий подтверждающих документов проведение контрольного (надзорного) мероприятия переносится Федеральным агентством по техническому регулированию и метрологии или его территориальным органом на срок, необходимый для устранения обстоятельств, послуживших поводом для такого обращения индивидуального предпринимателя в Федеральное агентство по техническому регулированию и метрологии или его территориальный орган.</w:t>
      </w:r>
    </w:p>
    <w:p>
      <w:pPr>
        <w:pStyle w:val="0"/>
        <w:spacing w:before="200" w:line-rule="auto"/>
        <w:ind w:firstLine="540"/>
        <w:jc w:val="both"/>
      </w:pPr>
      <w:r>
        <w:rPr>
          <w:sz w:val="20"/>
        </w:rPr>
        <w:t xml:space="preserve">66. Причинами невозможности присутствия при проведении контрольного (надзорного) мероприятия, предусмотренными </w:t>
      </w:r>
      <w:hyperlink w:history="0" w:anchor="P244" w:tooltip="65. В случае заблаговременного, но не позднее чем за 1 рабочий день до начала проведения контрольного (надзорного) мероприятия, получения Федеральным агентством по техническому регулированию и метрологии или его территориальным органом от индивидуального предпринимателя, в отношении которого проводится контрольное (надзорное) мероприятие, информации о невозможности присутствия при проведении контрольного (надзорного) мероприятия с приложением копий подтверждающих документов проведение контрольного (надзо...">
        <w:r>
          <w:rPr>
            <w:sz w:val="20"/>
            <w:color w:val="0000ff"/>
          </w:rPr>
          <w:t xml:space="preserve">пунктом 65</w:t>
        </w:r>
      </w:hyperlink>
      <w:r>
        <w:rPr>
          <w:sz w:val="20"/>
        </w:rPr>
        <w:t xml:space="preserve"> настоящего Положения, являются:</w:t>
      </w:r>
    </w:p>
    <w:p>
      <w:pPr>
        <w:pStyle w:val="0"/>
        <w:spacing w:before="200" w:line-rule="auto"/>
        <w:ind w:firstLine="540"/>
        <w:jc w:val="both"/>
      </w:pPr>
      <w:r>
        <w:rPr>
          <w:sz w:val="20"/>
        </w:rPr>
        <w:t xml:space="preserve">а) отсутствие по месту регистрации индивидуального предпринимателя на момент проведения контрольного (надзорного) мероприятия в связи с ежегодным отпуском, командировкой, похоронами;</w:t>
      </w:r>
    </w:p>
    <w:p>
      <w:pPr>
        <w:pStyle w:val="0"/>
        <w:spacing w:before="200" w:line-rule="auto"/>
        <w:ind w:firstLine="540"/>
        <w:jc w:val="both"/>
      </w:pPr>
      <w:r>
        <w:rPr>
          <w:sz w:val="20"/>
        </w:rPr>
        <w:t xml:space="preserve">б) временная нетрудоспособность (в том числе в связи с временной нетрудоспособностью детей, близких родственников) на момент контрольного (надзорного) мероприятия;</w:t>
      </w:r>
    </w:p>
    <w:p>
      <w:pPr>
        <w:pStyle w:val="0"/>
        <w:spacing w:before="200" w:line-rule="auto"/>
        <w:ind w:firstLine="540"/>
        <w:jc w:val="both"/>
      </w:pPr>
      <w:r>
        <w:rPr>
          <w:sz w:val="20"/>
        </w:rPr>
        <w:t xml:space="preserve">в) нахождение в отпусках по беременности и родам или по уходу за ребенком;</w:t>
      </w:r>
    </w:p>
    <w:p>
      <w:pPr>
        <w:pStyle w:val="0"/>
        <w:spacing w:before="200" w:line-rule="auto"/>
        <w:ind w:firstLine="540"/>
        <w:jc w:val="both"/>
      </w:pPr>
      <w:r>
        <w:rPr>
          <w:sz w:val="20"/>
        </w:rPr>
        <w:t xml:space="preserve">г) применение к контролируемому лицу обязательных, исправительных или принудительных работ, ограничения свободы, ареста, лишения свободы на определенный срок, предусмотренных Уголовным </w:t>
      </w:r>
      <w:hyperlink w:history="0" r:id="rId57"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д) призыв на военную службу в соответствии с Федеральным </w:t>
      </w:r>
      <w:hyperlink w:history="0" r:id="rId58"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 воинской обязанности и военной службе";</w:t>
      </w:r>
    </w:p>
    <w:p>
      <w:pPr>
        <w:pStyle w:val="0"/>
        <w:spacing w:before="200" w:line-rule="auto"/>
        <w:ind w:firstLine="540"/>
        <w:jc w:val="both"/>
      </w:pPr>
      <w:r>
        <w:rPr>
          <w:sz w:val="20"/>
        </w:rPr>
        <w:t xml:space="preserve">е) наступление обстоятельств непреодолимой силы, препятствующих присутствию индивидуального предпринимателя при проведении контрольного (надзорного) мероприятия (военные действия, катастрофа, стихийное бедствие, эпидемия и другие чрезвычайные обстоятельства).</w:t>
      </w:r>
    </w:p>
    <w:p>
      <w:pPr>
        <w:pStyle w:val="0"/>
        <w:spacing w:before="200" w:line-rule="auto"/>
        <w:ind w:firstLine="540"/>
        <w:jc w:val="both"/>
      </w:pPr>
      <w:r>
        <w:rPr>
          <w:sz w:val="20"/>
        </w:rPr>
        <w:t xml:space="preserve">67. В случае, указанном в </w:t>
      </w:r>
      <w:hyperlink w:history="0" w:anchor="P244" w:tooltip="65. В случае заблаговременного, но не позднее чем за 1 рабочий день до начала проведения контрольного (надзорного) мероприятия, получения Федеральным агентством по техническому регулированию и метрологии или его территориальным органом от индивидуального предпринимателя, в отношении которого проводится контрольное (надзорное) мероприятие, информации о невозможности присутствия при проведении контрольного (надзорного) мероприятия с приложением копий подтверждающих документов проведение контрольного (надзо...">
        <w:r>
          <w:rPr>
            <w:sz w:val="20"/>
            <w:color w:val="0000ff"/>
          </w:rPr>
          <w:t xml:space="preserve">пункте 65</w:t>
        </w:r>
      </w:hyperlink>
      <w:r>
        <w:rPr>
          <w:sz w:val="20"/>
        </w:rPr>
        <w:t xml:space="preserve"> настоящего Положения, в течение 2 рабочих дней в соответствующий приказ о проведении контрольного (надзорного) мероприятия вносятся изменения в части изменения сроков проведения контрольного (надзорного) мероприятия.</w:t>
      </w:r>
    </w:p>
    <w:p>
      <w:pPr>
        <w:pStyle w:val="0"/>
        <w:jc w:val="both"/>
      </w:pPr>
      <w:r>
        <w:rPr>
          <w:sz w:val="20"/>
        </w:rPr>
      </w:r>
    </w:p>
    <w:p>
      <w:pPr>
        <w:pStyle w:val="2"/>
        <w:outlineLvl w:val="1"/>
        <w:jc w:val="center"/>
      </w:pPr>
      <w:r>
        <w:rPr>
          <w:sz w:val="20"/>
        </w:rPr>
        <w:t xml:space="preserve">VII. Досудебный порядок подачи жалобы</w:t>
      </w:r>
    </w:p>
    <w:p>
      <w:pPr>
        <w:pStyle w:val="0"/>
        <w:jc w:val="both"/>
      </w:pPr>
      <w:r>
        <w:rPr>
          <w:sz w:val="20"/>
        </w:rPr>
      </w:r>
    </w:p>
    <w:p>
      <w:pPr>
        <w:pStyle w:val="0"/>
        <w:ind w:firstLine="540"/>
        <w:jc w:val="both"/>
      </w:pPr>
      <w:r>
        <w:rPr>
          <w:sz w:val="20"/>
        </w:rPr>
        <w:t xml:space="preserve">68. Действия (бездействие) должностных лиц, а также решения, принятые ими в ходе осуществления надзора, контролируемые лица, права и законные интересы которых, по их мнению, были непосредственно нарушены в рамках осуществления надзора, вправе обжаловать в досудебном порядке в соответствии с Федеральным </w:t>
      </w:r>
      <w:hyperlink w:history="0" r:id="rId5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настоящим Положением.</w:t>
      </w:r>
    </w:p>
    <w:p>
      <w:pPr>
        <w:pStyle w:val="0"/>
        <w:spacing w:before="200" w:line-rule="auto"/>
        <w:ind w:firstLine="540"/>
        <w:jc w:val="both"/>
      </w:pPr>
      <w:r>
        <w:rPr>
          <w:sz w:val="20"/>
        </w:rPr>
        <w:t xml:space="preserve">69. Жалоба подается контролируемым лицом в уполномоченный на рассмотрение жалобы орган, определяемый в порядке, предусмотренном </w:t>
      </w:r>
      <w:hyperlink w:history="0" r:id="rId6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статьями 39</w:t>
        </w:r>
      </w:hyperlink>
      <w:r>
        <w:rPr>
          <w:sz w:val="20"/>
        </w:rPr>
        <w:t xml:space="preserve"> - </w:t>
      </w:r>
      <w:hyperlink w:history="0" r:id="rId6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43</w:t>
        </w:r>
      </w:hyperlink>
      <w:r>
        <w:rPr>
          <w:sz w:val="20"/>
        </w:rPr>
        <w:t xml:space="preserve"> Федерального закона "О государственном контроле (надзоре) и муниципальном контроле в Российской Федерации". Жалоба, подаваемая индивидуальным предпринимателем, должна быть подписана простой электронной подписью либо усиленной квалифицированной электронной подписью. Жалоба, подаваемая юридическим лицом, должна быть подписана усиленной квалифицированной электронной подписью.</w:t>
      </w:r>
    </w:p>
    <w:p>
      <w:pPr>
        <w:pStyle w:val="0"/>
        <w:spacing w:before="200" w:line-rule="auto"/>
        <w:ind w:firstLine="540"/>
        <w:jc w:val="both"/>
      </w:pPr>
      <w:r>
        <w:rPr>
          <w:sz w:val="20"/>
        </w:rPr>
        <w:t xml:space="preserve">70. Жалоба на решение территориального органа Федерального агентства по техническому регулированию и метрологии, действия (бездействие) его должностных лиц рассматривается руководителем (заместителем руководителя) этого территориального органа.</w:t>
      </w:r>
    </w:p>
    <w:p>
      <w:pPr>
        <w:pStyle w:val="0"/>
        <w:spacing w:before="200" w:line-rule="auto"/>
        <w:ind w:firstLine="540"/>
        <w:jc w:val="both"/>
      </w:pPr>
      <w:r>
        <w:rPr>
          <w:sz w:val="20"/>
        </w:rPr>
        <w:t xml:space="preserve">Жалоба на действия (бездействие) руководителя (заместителя руководителя) территориального органа Федерального агентства по техническому регулированию и метрологии рассматривается Федеральным агентством по техническому регулированию и метрологии.</w:t>
      </w:r>
    </w:p>
    <w:p>
      <w:pPr>
        <w:pStyle w:val="0"/>
        <w:spacing w:before="200" w:line-rule="auto"/>
        <w:ind w:firstLine="540"/>
        <w:jc w:val="both"/>
      </w:pPr>
      <w:r>
        <w:rPr>
          <w:sz w:val="20"/>
        </w:rPr>
        <w:t xml:space="preserve">В случае обжалования решений Федерального агентства по техническому регулированию и метрологии, принятых его центральным аппаратом, действий (бездействия) должностных лиц центрального аппарата Федерального агентства по техническому регулированию и метрологии жалоба рассматривается руководителем Федерального агентства по техническому регулированию и метрологии.</w:t>
      </w:r>
    </w:p>
    <w:p>
      <w:pPr>
        <w:pStyle w:val="0"/>
        <w:spacing w:before="200" w:line-rule="auto"/>
        <w:ind w:firstLine="540"/>
        <w:jc w:val="both"/>
      </w:pPr>
      <w:r>
        <w:rPr>
          <w:sz w:val="20"/>
        </w:rPr>
        <w:t xml:space="preserve">71. Контролируемые лица, права и законные интересы которых, по их мнению, были непосредственно нарушены в рамках осуществления надзора, имеют право на досудебное обжалование:</w:t>
      </w:r>
    </w:p>
    <w:p>
      <w:pPr>
        <w:pStyle w:val="0"/>
        <w:spacing w:before="200" w:line-rule="auto"/>
        <w:ind w:firstLine="540"/>
        <w:jc w:val="both"/>
      </w:pPr>
      <w:r>
        <w:rPr>
          <w:sz w:val="20"/>
        </w:rPr>
        <w:t xml:space="preserve">а) решений о проведении контрольных (надзорных) мероприятий;</w:t>
      </w:r>
    </w:p>
    <w:p>
      <w:pPr>
        <w:pStyle w:val="0"/>
        <w:spacing w:before="200" w:line-rule="auto"/>
        <w:ind w:firstLine="540"/>
        <w:jc w:val="both"/>
      </w:pPr>
      <w:r>
        <w:rPr>
          <w:sz w:val="20"/>
        </w:rPr>
        <w:t xml:space="preserve">б)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в) действий (бездействия) должностных лиц Федерального агентства по техническому регулированию и метрологии или его территориальных органов в рамках контрольных (надзорных) мероприятий.</w:t>
      </w:r>
    </w:p>
    <w:p>
      <w:pPr>
        <w:pStyle w:val="0"/>
        <w:spacing w:before="200" w:line-rule="auto"/>
        <w:ind w:firstLine="540"/>
        <w:jc w:val="both"/>
      </w:pPr>
      <w:r>
        <w:rPr>
          <w:sz w:val="20"/>
        </w:rPr>
        <w:t xml:space="preserve">72. Жалоба, поступившая в Федеральное агентство по техническому регулированию и метрологии или его территориальный орган, подлежит регистрации не позднее следующего рабочего дня со дня ее поступления. Жалоба рассматривается в течение 20 дней со дня ее регистрации.</w:t>
      </w:r>
    </w:p>
    <w:p>
      <w:pPr>
        <w:pStyle w:val="0"/>
        <w:ind w:firstLine="540"/>
        <w:jc w:val="both"/>
      </w:pPr>
      <w:r>
        <w:rPr>
          <w:sz w:val="20"/>
        </w:rPr>
      </w:r>
    </w:p>
    <w:p>
      <w:pPr>
        <w:pStyle w:val="2"/>
        <w:outlineLvl w:val="1"/>
        <w:jc w:val="center"/>
      </w:pPr>
      <w:r>
        <w:rPr>
          <w:sz w:val="20"/>
        </w:rPr>
        <w:t xml:space="preserve">VIII. Ключевые показатели надзора</w:t>
      </w:r>
    </w:p>
    <w:p>
      <w:pPr>
        <w:pStyle w:val="0"/>
        <w:jc w:val="center"/>
      </w:pPr>
      <w:r>
        <w:rPr>
          <w:sz w:val="20"/>
        </w:rPr>
        <w:t xml:space="preserve">(введен </w:t>
      </w:r>
      <w:hyperlink w:history="0" r:id="rId62" w:tooltip="Постановление Правительства РФ от 27.11.2021 N 2067 &quot;О внесении изменений в Положение о федеральном государственном метрологическом контроле (надзоре)&quot; {КонсультантПлюс}">
        <w:r>
          <w:rPr>
            <w:sz w:val="20"/>
            <w:color w:val="0000ff"/>
          </w:rPr>
          <w:t xml:space="preserve">Постановлением</w:t>
        </w:r>
      </w:hyperlink>
      <w:r>
        <w:rPr>
          <w:sz w:val="20"/>
        </w:rPr>
        <w:t xml:space="preserve"> Правительства РФ от 27.11.2021 N 2067)</w:t>
      </w:r>
    </w:p>
    <w:p>
      <w:pPr>
        <w:pStyle w:val="0"/>
        <w:jc w:val="center"/>
      </w:pPr>
      <w:r>
        <w:rPr>
          <w:sz w:val="20"/>
        </w:rPr>
      </w:r>
    </w:p>
    <w:p>
      <w:pPr>
        <w:pStyle w:val="0"/>
        <w:ind w:firstLine="540"/>
        <w:jc w:val="both"/>
      </w:pPr>
      <w:r>
        <w:rPr>
          <w:sz w:val="20"/>
        </w:rPr>
        <w:t xml:space="preserve">73. Оценка результативности и эффективности Федерального агентства по техническому регулированию и метрологии и его территориальных органов осуществляется на основе системы показателей результативности и эффективности надзора, в которую входят ключевые и индикативные показатели надзора.</w:t>
      </w:r>
    </w:p>
    <w:p>
      <w:pPr>
        <w:pStyle w:val="0"/>
        <w:spacing w:before="200" w:line-rule="auto"/>
        <w:ind w:firstLine="540"/>
        <w:jc w:val="both"/>
      </w:pPr>
      <w:r>
        <w:rPr>
          <w:sz w:val="20"/>
        </w:rPr>
        <w:t xml:space="preserve">74. Ключевым показателем надзора является соотношение количества объектов надзора, относящихся к высокой категории риска на конец отчетного года, к общему количеству объектов надзора на конец отчетного года.</w:t>
      </w:r>
    </w:p>
    <w:p>
      <w:pPr>
        <w:pStyle w:val="0"/>
        <w:spacing w:before="200" w:line-rule="auto"/>
        <w:ind w:firstLine="540"/>
        <w:jc w:val="both"/>
      </w:pPr>
      <w:r>
        <w:rPr>
          <w:sz w:val="20"/>
        </w:rPr>
        <w:t xml:space="preserve">Значение ключевого показателя (КП) определяется по следующей формуле:</w:t>
      </w:r>
    </w:p>
    <w:p>
      <w:pPr>
        <w:pStyle w:val="0"/>
        <w:jc w:val="center"/>
      </w:pPr>
      <w:r>
        <w:rPr>
          <w:sz w:val="20"/>
        </w:rPr>
      </w:r>
    </w:p>
    <w:p>
      <w:pPr>
        <w:pStyle w:val="0"/>
        <w:jc w:val="center"/>
      </w:pPr>
      <w:r>
        <w:rPr>
          <w:position w:val="-23"/>
        </w:rPr>
        <w:drawing>
          <wp:inline distT="0" distB="0" distL="0" distR="0">
            <wp:extent cx="13049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 - количество объектов надзора, относящихся к высокой категории риска на конец отчетного года;</w:t>
      </w:r>
    </w:p>
    <w:p>
      <w:pPr>
        <w:pStyle w:val="0"/>
        <w:spacing w:before="200" w:line-rule="auto"/>
        <w:ind w:firstLine="540"/>
        <w:jc w:val="both"/>
      </w:pPr>
      <w:r>
        <w:rPr>
          <w:sz w:val="20"/>
        </w:rPr>
        <w:t xml:space="preserve">Y - общее количество объектов надзора на конец отчетного года.</w:t>
      </w:r>
    </w:p>
    <w:p>
      <w:pPr>
        <w:pStyle w:val="0"/>
        <w:spacing w:before="200" w:line-rule="auto"/>
        <w:ind w:firstLine="540"/>
        <w:jc w:val="both"/>
      </w:pPr>
      <w:r>
        <w:rPr>
          <w:sz w:val="20"/>
        </w:rPr>
        <w:t xml:space="preserve">Целевым (плановым) значением признается значение ключевого показателя, равное 15 процентам и менее.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федеральном</w:t>
      </w:r>
    </w:p>
    <w:p>
      <w:pPr>
        <w:pStyle w:val="0"/>
        <w:jc w:val="right"/>
      </w:pPr>
      <w:r>
        <w:rPr>
          <w:sz w:val="20"/>
        </w:rPr>
        <w:t xml:space="preserve">государственном метрологическом</w:t>
      </w:r>
    </w:p>
    <w:p>
      <w:pPr>
        <w:pStyle w:val="0"/>
        <w:jc w:val="right"/>
      </w:pPr>
      <w:r>
        <w:rPr>
          <w:sz w:val="20"/>
        </w:rPr>
        <w:t xml:space="preserve">контроле (надзоре)</w:t>
      </w:r>
    </w:p>
    <w:p>
      <w:pPr>
        <w:pStyle w:val="0"/>
        <w:jc w:val="both"/>
      </w:pPr>
      <w:r>
        <w:rPr>
          <w:sz w:val="20"/>
        </w:rPr>
      </w:r>
    </w:p>
    <w:bookmarkStart w:id="290" w:name="P290"/>
    <w:bookmarkEnd w:id="290"/>
    <w:p>
      <w:pPr>
        <w:pStyle w:val="2"/>
        <w:jc w:val="center"/>
      </w:pPr>
      <w:r>
        <w:rPr>
          <w:sz w:val="20"/>
        </w:rPr>
        <w:t xml:space="preserve">КРИТЕРИИ</w:t>
      </w:r>
    </w:p>
    <w:p>
      <w:pPr>
        <w:pStyle w:val="2"/>
        <w:jc w:val="center"/>
      </w:pPr>
      <w:r>
        <w:rPr>
          <w:sz w:val="20"/>
        </w:rPr>
        <w:t xml:space="preserve">ОТНЕСЕНИЯ ОБЪЕКТОВ ФЕДЕРАЛЬНОГО ГОСУДАРСТВЕННОГО</w:t>
      </w:r>
    </w:p>
    <w:p>
      <w:pPr>
        <w:pStyle w:val="2"/>
        <w:jc w:val="center"/>
      </w:pPr>
      <w:r>
        <w:rPr>
          <w:sz w:val="20"/>
        </w:rPr>
        <w:t xml:space="preserve">МЕТРОЛОГИЧЕСКОГО КОНТРОЛЯ (НАДЗОРА) К ОПРЕДЕЛЕННОЙ</w:t>
      </w:r>
    </w:p>
    <w:p>
      <w:pPr>
        <w:pStyle w:val="2"/>
        <w:jc w:val="center"/>
      </w:pPr>
      <w:r>
        <w:rPr>
          <w:sz w:val="20"/>
        </w:rPr>
        <w:t xml:space="preserve">КАТЕГОРИИ РИСКА ПРИЧИНЕНИЯ ВРЕДА (УЩЕРБА) ОХРАНЯЕМЫМ</w:t>
      </w:r>
    </w:p>
    <w:p>
      <w:pPr>
        <w:pStyle w:val="2"/>
        <w:jc w:val="center"/>
      </w:pPr>
      <w:r>
        <w:rPr>
          <w:sz w:val="20"/>
        </w:rPr>
        <w:t xml:space="preserve">ЗАКОНОМ ЦЕННОСТЯМ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4" w:tooltip="Постановление Правительства РФ от 27.11.2021 N 2067 &quot;О внесении изменений в Положение о федеральном государственном метрологическом контроле (надзоре)&quot; {КонсультантПлюс}">
              <w:r>
                <w:rPr>
                  <w:sz w:val="20"/>
                  <w:color w:val="0000ff"/>
                </w:rPr>
                <w:t xml:space="preserve">Постановления</w:t>
              </w:r>
            </w:hyperlink>
            <w:r>
              <w:rPr>
                <w:sz w:val="20"/>
                <w:color w:val="392c69"/>
              </w:rPr>
              <w:t xml:space="preserve"> Правительства РФ от 27.11.2021 N 2067)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 учетом тяжести потенциальных негативных последствий возможного несоблюдения контролируемым лицом обязательных требований деятельность контролируемого лица, подлежащая федеральному государственному метрологическому контролю (надзору), разделяется на группы тяжести "А", "Б", "В" и "Г" (далее - группы тяжести).</w:t>
      </w:r>
    </w:p>
    <w:p>
      <w:pPr>
        <w:pStyle w:val="0"/>
        <w:spacing w:before="200" w:line-rule="auto"/>
        <w:ind w:firstLine="540"/>
        <w:jc w:val="both"/>
      </w:pPr>
      <w:r>
        <w:rPr>
          <w:sz w:val="20"/>
        </w:rPr>
        <w:t xml:space="preserve">2. К группе тяжести "А" относится деятельность контролируемых лиц по выполнению измерений, относящихся к сфере государственного регулирования обеспечения единства измерений, применению для этих целей средств измерений, стандартных образцов или эталонов единиц величин в следующих областях деятельности:</w:t>
      </w:r>
    </w:p>
    <w:p>
      <w:pPr>
        <w:pStyle w:val="0"/>
        <w:spacing w:before="200" w:line-rule="auto"/>
        <w:ind w:firstLine="540"/>
        <w:jc w:val="both"/>
      </w:pPr>
      <w:r>
        <w:rPr>
          <w:sz w:val="20"/>
        </w:rPr>
        <w:t xml:space="preserve">а) при осуществлении деятельности в области здравоохранения;</w:t>
      </w:r>
    </w:p>
    <w:p>
      <w:pPr>
        <w:pStyle w:val="0"/>
        <w:spacing w:before="200" w:line-rule="auto"/>
        <w:ind w:firstLine="540"/>
        <w:jc w:val="both"/>
      </w:pPr>
      <w:r>
        <w:rPr>
          <w:sz w:val="20"/>
        </w:rPr>
        <w:t xml:space="preserve">б) при выполнении работ по обеспечению безопасных условий и охраны труда;</w:t>
      </w:r>
    </w:p>
    <w:p>
      <w:pPr>
        <w:pStyle w:val="0"/>
        <w:spacing w:before="200" w:line-rule="auto"/>
        <w:ind w:firstLine="540"/>
        <w:jc w:val="both"/>
      </w:pPr>
      <w:r>
        <w:rPr>
          <w:sz w:val="20"/>
        </w:rPr>
        <w:t xml:space="preserve">в) при выполнении государственных учетных операций и учете количества энергетических ресурсов.</w:t>
      </w:r>
    </w:p>
    <w:p>
      <w:pPr>
        <w:pStyle w:val="0"/>
        <w:spacing w:before="200" w:line-rule="auto"/>
        <w:ind w:firstLine="540"/>
        <w:jc w:val="both"/>
      </w:pPr>
      <w:r>
        <w:rPr>
          <w:sz w:val="20"/>
        </w:rPr>
        <w:t xml:space="preserve">3. К группе тяжести "Б" относится деятельность контролируемых лиц по выполнению измерений, относящихся к сфере государственного регулирования обеспечения единства измерений, применению для этих целей средств измерений, стандартных образцов или эталонов единиц величин в следующих областях деятельности:</w:t>
      </w:r>
    </w:p>
    <w:p>
      <w:pPr>
        <w:pStyle w:val="0"/>
        <w:spacing w:before="200" w:line-rule="auto"/>
        <w:ind w:firstLine="540"/>
        <w:jc w:val="both"/>
      </w:pPr>
      <w:r>
        <w:rPr>
          <w:sz w:val="20"/>
        </w:rPr>
        <w:t xml:space="preserve">а) при осуществлении деятельности в области охраны окружающей среды;</w:t>
      </w:r>
    </w:p>
    <w:p>
      <w:pPr>
        <w:pStyle w:val="0"/>
        <w:spacing w:before="200" w:line-rule="auto"/>
        <w:ind w:firstLine="540"/>
        <w:jc w:val="both"/>
      </w:pPr>
      <w:r>
        <w:rPr>
          <w:sz w:val="20"/>
        </w:rPr>
        <w:t xml:space="preserve">б) при осуществлении торговли, выполнении работ по расфасовке товаров;</w:t>
      </w:r>
    </w:p>
    <w:p>
      <w:pPr>
        <w:pStyle w:val="0"/>
        <w:spacing w:before="200" w:line-rule="auto"/>
        <w:ind w:firstLine="540"/>
        <w:jc w:val="both"/>
      </w:pPr>
      <w:r>
        <w:rPr>
          <w:sz w:val="20"/>
        </w:rPr>
        <w:t xml:space="preserve">в) при проведении банковских, налоговых, таможенных операций и таможенного контроля;</w:t>
      </w:r>
    </w:p>
    <w:p>
      <w:pPr>
        <w:pStyle w:val="0"/>
        <w:spacing w:before="200" w:line-rule="auto"/>
        <w:ind w:firstLine="540"/>
        <w:jc w:val="both"/>
      </w:pPr>
      <w:r>
        <w:rPr>
          <w:sz w:val="20"/>
        </w:rPr>
        <w:t xml:space="preserve">г) при обеспечении безопасности дорожного движения;</w:t>
      </w:r>
    </w:p>
    <w:p>
      <w:pPr>
        <w:pStyle w:val="0"/>
        <w:spacing w:before="200" w:line-rule="auto"/>
        <w:ind w:firstLine="540"/>
        <w:jc w:val="both"/>
      </w:pPr>
      <w:r>
        <w:rPr>
          <w:sz w:val="20"/>
        </w:rPr>
        <w:t xml:space="preserve">д) при осуществлении деятельности в области гидрометеорологии, мониторинга состояния и загрязнения окружающей среды.</w:t>
      </w:r>
    </w:p>
    <w:p>
      <w:pPr>
        <w:pStyle w:val="0"/>
        <w:spacing w:before="200" w:line-rule="auto"/>
        <w:ind w:firstLine="540"/>
        <w:jc w:val="both"/>
      </w:pPr>
      <w:r>
        <w:rPr>
          <w:sz w:val="20"/>
        </w:rPr>
        <w:t xml:space="preserve">4. К группе тяжести "В" относится деятельность контролируемых лиц по выполнению измерений, относящихся к сфере государственного регулирования обеспечения единства измерений, применению для этих целей средств измерений, стандартных образцов или эталонов единиц величин при осуществлении ветеринарной деятельности.</w:t>
      </w:r>
    </w:p>
    <w:p>
      <w:pPr>
        <w:pStyle w:val="0"/>
        <w:jc w:val="both"/>
      </w:pPr>
      <w:r>
        <w:rPr>
          <w:sz w:val="20"/>
        </w:rPr>
        <w:t xml:space="preserve">(п. 4 в ред. </w:t>
      </w:r>
      <w:hyperlink w:history="0" r:id="rId65" w:tooltip="Постановление Правительства РФ от 27.11.2021 N 2067 &quot;О внесении изменений в Положение о федеральном государственном метрологическом контроле (надзоре)&quot; {КонсультантПлюс}">
        <w:r>
          <w:rPr>
            <w:sz w:val="20"/>
            <w:color w:val="0000ff"/>
          </w:rPr>
          <w:t xml:space="preserve">Постановления</w:t>
        </w:r>
      </w:hyperlink>
      <w:r>
        <w:rPr>
          <w:sz w:val="20"/>
        </w:rPr>
        <w:t xml:space="preserve"> Правительства РФ от 27.11.2021 N 2067)</w:t>
      </w:r>
    </w:p>
    <w:p>
      <w:pPr>
        <w:pStyle w:val="0"/>
        <w:spacing w:before="200" w:line-rule="auto"/>
        <w:ind w:firstLine="540"/>
        <w:jc w:val="both"/>
      </w:pPr>
      <w:r>
        <w:rPr>
          <w:sz w:val="20"/>
        </w:rPr>
        <w:t xml:space="preserve">5. К группе тяжести "Г" относятся следующие виды деятельности:</w:t>
      </w:r>
    </w:p>
    <w:p>
      <w:pPr>
        <w:pStyle w:val="0"/>
        <w:spacing w:before="200" w:line-rule="auto"/>
        <w:ind w:firstLine="540"/>
        <w:jc w:val="both"/>
      </w:pPr>
      <w:r>
        <w:rPr>
          <w:sz w:val="20"/>
        </w:rPr>
        <w:t xml:space="preserve">а) деятельность контролируемых лиц по выпуску в обращение и обращению средств измерений утвержденного типа, стандартных образцов утвержденного типа или эталонов единиц величин;</w:t>
      </w:r>
    </w:p>
    <w:p>
      <w:pPr>
        <w:pStyle w:val="0"/>
        <w:spacing w:before="200" w:line-rule="auto"/>
        <w:ind w:firstLine="540"/>
        <w:jc w:val="both"/>
      </w:pPr>
      <w:r>
        <w:rPr>
          <w:sz w:val="20"/>
        </w:rPr>
        <w:t xml:space="preserve">б) деятельность контролируемых лиц по выполнению измерений, относящихся к сфере государственного регулирования обеспечения единства измерений, применению для этих целей средств измерений, стандартных образцов или эталонов единиц величин в следующих областях деятельности:</w:t>
      </w:r>
    </w:p>
    <w:p>
      <w:pPr>
        <w:pStyle w:val="0"/>
        <w:spacing w:before="200" w:line-rule="auto"/>
        <w:ind w:firstLine="540"/>
        <w:jc w:val="both"/>
      </w:pPr>
      <w:r>
        <w:rPr>
          <w:sz w:val="20"/>
        </w:rPr>
        <w:t xml:space="preserve">при оказании услуг почтовой связи, учете объема оказанных услуг электросвязи операторами связи и обеспечении целостности и устойчивости функционирования сети связи общего пользования;</w:t>
      </w:r>
    </w:p>
    <w:p>
      <w:pPr>
        <w:pStyle w:val="0"/>
        <w:spacing w:before="200" w:line-rule="auto"/>
        <w:ind w:firstLine="540"/>
        <w:jc w:val="both"/>
      </w:pPr>
      <w:r>
        <w:rPr>
          <w:sz w:val="20"/>
        </w:rPr>
        <w:t xml:space="preserve">при осуществлении геодезической и картографической деятельности;</w:t>
      </w:r>
    </w:p>
    <w:p>
      <w:pPr>
        <w:pStyle w:val="0"/>
        <w:spacing w:before="200" w:line-rule="auto"/>
        <w:ind w:firstLine="540"/>
        <w:jc w:val="both"/>
      </w:pPr>
      <w:r>
        <w:rPr>
          <w:sz w:val="20"/>
        </w:rPr>
        <w:t xml:space="preserve">при проведении официальных спортивных соревнований, обеспечении подготовки спортсменов высокого класса;</w:t>
      </w:r>
    </w:p>
    <w:p>
      <w:pPr>
        <w:pStyle w:val="0"/>
        <w:spacing w:before="200" w:line-rule="auto"/>
        <w:ind w:firstLine="540"/>
        <w:jc w:val="both"/>
      </w:pPr>
      <w:r>
        <w:rPr>
          <w:sz w:val="20"/>
        </w:rPr>
        <w:t xml:space="preserve">при осуществлении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 выполнении работ по оценке соответствия продукции и иных объектов обязательным требованиям в соответствии с законодательством Российской Федерации о техническом регулировании, выполнении поручений суда, органов прокуратуры, государственных органов исполнительной власти, а также при осуществлении мероприятий государственного контроля (надзора).</w:t>
      </w:r>
    </w:p>
    <w:p>
      <w:pPr>
        <w:pStyle w:val="0"/>
        <w:spacing w:before="200" w:line-rule="auto"/>
        <w:ind w:firstLine="540"/>
        <w:jc w:val="both"/>
      </w:pPr>
      <w:r>
        <w:rPr>
          <w:sz w:val="20"/>
        </w:rPr>
        <w:t xml:space="preserve">6.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pPr>
        <w:pStyle w:val="0"/>
        <w:spacing w:before="200" w:line-rule="auto"/>
        <w:ind w:firstLine="540"/>
        <w:jc w:val="both"/>
      </w:pPr>
      <w:r>
        <w:rPr>
          <w:sz w:val="20"/>
        </w:rPr>
        <w:t xml:space="preserve">7. С учетом оценки вероятности несоблюдения контролируемыми лицами обязательных требований деятельность, подлежащая федеральному государственному метрологическому контролю (надзору), разделяется на группы вероятности "1", "2", "3" и "4" (далее - группы вероятности).</w:t>
      </w:r>
    </w:p>
    <w:bookmarkStart w:id="320" w:name="P320"/>
    <w:bookmarkEnd w:id="320"/>
    <w:p>
      <w:pPr>
        <w:pStyle w:val="0"/>
        <w:spacing w:before="200" w:line-rule="auto"/>
        <w:ind w:firstLine="540"/>
        <w:jc w:val="both"/>
      </w:pPr>
      <w:r>
        <w:rPr>
          <w:sz w:val="20"/>
        </w:rPr>
        <w:t xml:space="preserve">8. К группе вероятности "1" относится деятельность контролируемых лиц, осуществляемая с нарушениями требований законодательства Российской Федерации об обеспечении единства измерений, ответственность за которые предусмотрена </w:t>
      </w:r>
      <w:hyperlink w:history="0" r:id="rId66" w:tooltip="&quot;Кодекс Российской Федерации об административных правонарушениях&quot; от 30.12.2001 N 195-ФЗ (ред. от 28.02.2023) {КонсультантПлюс}">
        <w:r>
          <w:rPr>
            <w:sz w:val="20"/>
            <w:color w:val="0000ff"/>
          </w:rPr>
          <w:t xml:space="preserve">частью 1 статьи 19.19</w:t>
        </w:r>
      </w:hyperlink>
      <w:r>
        <w:rPr>
          <w:sz w:val="20"/>
        </w:rPr>
        <w:t xml:space="preserve"> Кодекса Российской Федерации об административных правонарушениях, в отношении которых имеется вступившее в силу в течение 2 последних лет постановление о привлечении к административной ответственности юридического лица, или его должностного лица, или индивидуального предпринимателя.</w:t>
      </w:r>
    </w:p>
    <w:p>
      <w:pPr>
        <w:pStyle w:val="0"/>
        <w:spacing w:before="200" w:line-rule="auto"/>
        <w:ind w:firstLine="540"/>
        <w:jc w:val="both"/>
      </w:pPr>
      <w:r>
        <w:rPr>
          <w:sz w:val="20"/>
        </w:rPr>
        <w:t xml:space="preserve">9. К группе вероятности "2" относится деятельность контролируемых лиц, осуществляемая с нарушениями требований законодательства Российской Федерации об обеспечении единства измерений, ответственность за которые предусмотрена </w:t>
      </w:r>
      <w:hyperlink w:history="0" r:id="rId67" w:tooltip="&quot;Кодекс Российской Федерации об административных правонарушениях&quot; от 30.12.2001 N 195-ФЗ (ред. от 28.02.2023) {КонсультантПлюс}">
        <w:r>
          <w:rPr>
            <w:sz w:val="20"/>
            <w:color w:val="0000ff"/>
          </w:rPr>
          <w:t xml:space="preserve">частью 1 статьи 19.19</w:t>
        </w:r>
      </w:hyperlink>
      <w:r>
        <w:rPr>
          <w:sz w:val="20"/>
        </w:rPr>
        <w:t xml:space="preserve"> Кодекса Российской Федерации об административных правонарушениях, в отношении которых имеется вступившее в силу в течение 3 последних лет постановление о привлечении к административной ответственности юридического лица, или его должностного лица, или индивидуального предпринимателя.</w:t>
      </w:r>
    </w:p>
    <w:bookmarkStart w:id="322" w:name="P322"/>
    <w:bookmarkEnd w:id="322"/>
    <w:p>
      <w:pPr>
        <w:pStyle w:val="0"/>
        <w:spacing w:before="200" w:line-rule="auto"/>
        <w:ind w:firstLine="540"/>
        <w:jc w:val="both"/>
      </w:pPr>
      <w:r>
        <w:rPr>
          <w:sz w:val="20"/>
        </w:rPr>
        <w:t xml:space="preserve">10. К группе вероятности "3" относится деятельность контролируемых лиц, осуществляемая с нарушениями требований законодательства Российской Федерации об обеспечении единства измерений, ответственность за которые предусмотрена </w:t>
      </w:r>
      <w:hyperlink w:history="0" r:id="rId68" w:tooltip="&quot;Кодекс Российской Федерации об административных правонарушениях&quot; от 30.12.2001 N 195-ФЗ (ред. от 28.02.2023) {КонсультантПлюс}">
        <w:r>
          <w:rPr>
            <w:sz w:val="20"/>
            <w:color w:val="0000ff"/>
          </w:rPr>
          <w:t xml:space="preserve">частью 1 статьи 19.19</w:t>
        </w:r>
      </w:hyperlink>
      <w:r>
        <w:rPr>
          <w:sz w:val="20"/>
        </w:rPr>
        <w:t xml:space="preserve"> Кодекса Российской Федерации об административных правонарушениях, в отношении которых имеется вступившее в силу в течение 4 последних лет постановление о привлечении к административной ответственности юридического лица, или его должностного лица, или индивидуального предпринимателя.</w:t>
      </w:r>
    </w:p>
    <w:p>
      <w:pPr>
        <w:pStyle w:val="0"/>
        <w:spacing w:before="200" w:line-rule="auto"/>
        <w:ind w:firstLine="540"/>
        <w:jc w:val="both"/>
      </w:pPr>
      <w:r>
        <w:rPr>
          <w:sz w:val="20"/>
        </w:rPr>
        <w:t xml:space="preserve">11. К группе вероятности "4" относится деятельность контролируемых лиц при отсутствии обстоятельств, указанных в </w:t>
      </w:r>
      <w:hyperlink w:history="0" w:anchor="P320" w:tooltip="8. К группе вероятности &quot;1&quot; относится деятельность контролируемых лиц, осуществляемая с нарушениями требований законодательства Российской Федерации об обеспечении единства измерений, ответственность за которые предусмотрена частью 1 статьи 19.19 Кодекса Российской Федерации об административных правонарушениях, в отношении которых имеется вступившее в силу в течение 2 последних лет постановление о привлечении к административной ответственности юридического лица, или его должностного лица, или индивидуаль...">
        <w:r>
          <w:rPr>
            <w:sz w:val="20"/>
            <w:color w:val="0000ff"/>
          </w:rPr>
          <w:t xml:space="preserve">пунктах 8</w:t>
        </w:r>
      </w:hyperlink>
      <w:r>
        <w:rPr>
          <w:sz w:val="20"/>
        </w:rPr>
        <w:t xml:space="preserve"> - </w:t>
      </w:r>
      <w:hyperlink w:history="0" w:anchor="P322" w:tooltip="10. К группе вероятности &quot;3&quot; относится деятельность контролируемых лиц, осуществляемая с нарушениями требований законодательства Российской Федерации об обеспечении единства измерений, ответственность за которые предусмотрена частью 1 статьи 19.19 Кодекса Российской Федерации об административных правонарушениях, в отношении которых имеется вступившее в силу в течение 4 последних лет постановление о привлечении к административной ответственности юридического лица, или его должностного лица, или индивидуал...">
        <w:r>
          <w:rPr>
            <w:sz w:val="20"/>
            <w:color w:val="0000ff"/>
          </w:rPr>
          <w:t xml:space="preserve">10</w:t>
        </w:r>
      </w:hyperlink>
      <w:r>
        <w:rPr>
          <w:sz w:val="20"/>
        </w:rPr>
        <w:t xml:space="preserve"> настоящего документа.</w:t>
      </w:r>
    </w:p>
    <w:p>
      <w:pPr>
        <w:pStyle w:val="0"/>
        <w:spacing w:before="200" w:line-rule="auto"/>
        <w:ind w:firstLine="540"/>
        <w:jc w:val="both"/>
      </w:pPr>
      <w:r>
        <w:rPr>
          <w:sz w:val="20"/>
        </w:rPr>
        <w:t xml:space="preserve">12. При наличии критериев, позволяющих отнести деятельность контролируемого лица к различным группам вероятности, подлежит применению критерий, позволяющий отнести деятельность контролируемого лица к более высокой категории риска.</w:t>
      </w:r>
    </w:p>
    <w:p>
      <w:pPr>
        <w:pStyle w:val="0"/>
        <w:spacing w:before="200" w:line-rule="auto"/>
        <w:ind w:firstLine="540"/>
        <w:jc w:val="both"/>
      </w:pPr>
      <w:r>
        <w:rPr>
          <w:sz w:val="20"/>
        </w:rPr>
        <w:t xml:space="preserve">13.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288"/>
        <w:gridCol w:w="2948"/>
        <w:gridCol w:w="2803"/>
      </w:tblGrid>
      <w:tr>
        <w:tblPrEx>
          <w:tblBorders>
            <w:insideV w:val="single" w:sz="4"/>
            <w:insideH w:val="single" w:sz="4"/>
          </w:tblBorders>
        </w:tblPrEx>
        <w:tc>
          <w:tcPr>
            <w:tcW w:w="3288" w:type="dxa"/>
            <w:tcBorders>
              <w:top w:val="single" w:sz="4"/>
              <w:left w:val="nil"/>
              <w:bottom w:val="single" w:sz="4"/>
            </w:tcBorders>
          </w:tcPr>
          <w:p>
            <w:pPr>
              <w:pStyle w:val="0"/>
              <w:jc w:val="center"/>
            </w:pPr>
            <w:r>
              <w:rPr>
                <w:sz w:val="20"/>
              </w:rPr>
              <w:t xml:space="preserve">Категория риска</w:t>
            </w:r>
          </w:p>
        </w:tc>
        <w:tc>
          <w:tcPr>
            <w:tcW w:w="2948" w:type="dxa"/>
            <w:tcBorders>
              <w:top w:val="single" w:sz="4"/>
              <w:bottom w:val="single" w:sz="4"/>
            </w:tcBorders>
          </w:tcPr>
          <w:p>
            <w:pPr>
              <w:pStyle w:val="0"/>
              <w:jc w:val="center"/>
            </w:pPr>
            <w:r>
              <w:rPr>
                <w:sz w:val="20"/>
              </w:rPr>
              <w:t xml:space="preserve">Группа тяжести</w:t>
            </w:r>
          </w:p>
        </w:tc>
        <w:tc>
          <w:tcPr>
            <w:tcW w:w="2803" w:type="dxa"/>
            <w:tcBorders>
              <w:top w:val="single" w:sz="4"/>
              <w:bottom w:val="single" w:sz="4"/>
              <w:right w:val="nil"/>
            </w:tcBorders>
          </w:tcPr>
          <w:p>
            <w:pPr>
              <w:pStyle w:val="0"/>
              <w:jc w:val="center"/>
            </w:pPr>
            <w:r>
              <w:rPr>
                <w:sz w:val="20"/>
              </w:rPr>
              <w:t xml:space="preserve">Группа вероятности</w:t>
            </w:r>
          </w:p>
        </w:tc>
      </w:tr>
      <w:tr>
        <w:tc>
          <w:tcPr>
            <w:tcW w:w="3288" w:type="dxa"/>
            <w:vAlign w:val="bottom"/>
            <w:tcBorders>
              <w:top w:val="single" w:sz="4"/>
              <w:left w:val="nil"/>
              <w:bottom w:val="nil"/>
              <w:right w:val="nil"/>
            </w:tcBorders>
          </w:tcPr>
          <w:p>
            <w:pPr>
              <w:pStyle w:val="0"/>
            </w:pPr>
            <w:r>
              <w:rPr>
                <w:sz w:val="20"/>
              </w:rPr>
              <w:t xml:space="preserve">Высокий риск</w:t>
            </w:r>
          </w:p>
        </w:tc>
        <w:tc>
          <w:tcPr>
            <w:tcW w:w="2948" w:type="dxa"/>
            <w:vAlign w:val="bottom"/>
            <w:tcBorders>
              <w:top w:val="single" w:sz="4"/>
              <w:left w:val="nil"/>
              <w:bottom w:val="nil"/>
              <w:right w:val="nil"/>
            </w:tcBorders>
          </w:tcPr>
          <w:p>
            <w:pPr>
              <w:pStyle w:val="0"/>
              <w:jc w:val="center"/>
            </w:pPr>
            <w:r>
              <w:rPr>
                <w:sz w:val="20"/>
              </w:rPr>
              <w:t xml:space="preserve">А</w:t>
            </w:r>
          </w:p>
        </w:tc>
        <w:tc>
          <w:tcPr>
            <w:tcW w:w="2803" w:type="dxa"/>
            <w:vAlign w:val="bottom"/>
            <w:tcBorders>
              <w:top w:val="single" w:sz="4"/>
              <w:left w:val="nil"/>
              <w:bottom w:val="nil"/>
              <w:right w:val="nil"/>
            </w:tcBorders>
          </w:tcPr>
          <w:p>
            <w:pPr>
              <w:pStyle w:val="0"/>
              <w:jc w:val="center"/>
            </w:pPr>
            <w:r>
              <w:rPr>
                <w:sz w:val="20"/>
              </w:rPr>
              <w:t xml:space="preserve">1</w:t>
            </w:r>
          </w:p>
        </w:tc>
      </w:tr>
      <w:tr>
        <w:tc>
          <w:tcPr>
            <w:tcW w:w="3288" w:type="dxa"/>
            <w:tcBorders>
              <w:top w:val="nil"/>
              <w:left w:val="nil"/>
              <w:bottom w:val="nil"/>
              <w:right w:val="nil"/>
            </w:tcBorders>
          </w:tcPr>
          <w:p>
            <w:pPr>
              <w:pStyle w:val="0"/>
            </w:pPr>
            <w:r>
              <w:rPr>
                <w:sz w:val="20"/>
              </w:rPr>
            </w:r>
          </w:p>
        </w:tc>
        <w:tc>
          <w:tcPr>
            <w:tcW w:w="2948" w:type="dxa"/>
            <w:vAlign w:val="center"/>
            <w:tcBorders>
              <w:top w:val="nil"/>
              <w:left w:val="nil"/>
              <w:bottom w:val="nil"/>
              <w:right w:val="nil"/>
            </w:tcBorders>
          </w:tcPr>
          <w:p>
            <w:pPr>
              <w:pStyle w:val="0"/>
              <w:jc w:val="center"/>
            </w:pPr>
            <w:r>
              <w:rPr>
                <w:sz w:val="20"/>
              </w:rPr>
              <w:t xml:space="preserve">Б</w:t>
            </w:r>
          </w:p>
        </w:tc>
        <w:tc>
          <w:tcPr>
            <w:tcW w:w="2803" w:type="dxa"/>
            <w:vAlign w:val="bottom"/>
            <w:tcBorders>
              <w:top w:val="nil"/>
              <w:left w:val="nil"/>
              <w:bottom w:val="nil"/>
              <w:right w:val="nil"/>
            </w:tcBorders>
          </w:tcPr>
          <w:p>
            <w:pPr>
              <w:pStyle w:val="0"/>
              <w:jc w:val="center"/>
            </w:pPr>
            <w:r>
              <w:rPr>
                <w:sz w:val="20"/>
              </w:rPr>
              <w:t xml:space="preserve">1</w:t>
            </w:r>
          </w:p>
        </w:tc>
      </w:tr>
      <w:tr>
        <w:tc>
          <w:tcPr>
            <w:tcW w:w="3288" w:type="dxa"/>
            <w:vAlign w:val="center"/>
            <w:tcBorders>
              <w:top w:val="nil"/>
              <w:left w:val="nil"/>
              <w:bottom w:val="nil"/>
              <w:right w:val="nil"/>
            </w:tcBorders>
          </w:tcPr>
          <w:p>
            <w:pPr>
              <w:pStyle w:val="0"/>
            </w:pPr>
            <w:r>
              <w:rPr>
                <w:sz w:val="20"/>
              </w:rPr>
              <w:t xml:space="preserve">Значительный риск</w:t>
            </w:r>
          </w:p>
        </w:tc>
        <w:tc>
          <w:tcPr>
            <w:tcW w:w="2948" w:type="dxa"/>
            <w:vAlign w:val="center"/>
            <w:tcBorders>
              <w:top w:val="nil"/>
              <w:left w:val="nil"/>
              <w:bottom w:val="nil"/>
              <w:right w:val="nil"/>
            </w:tcBorders>
          </w:tcPr>
          <w:p>
            <w:pPr>
              <w:pStyle w:val="0"/>
              <w:jc w:val="center"/>
            </w:pPr>
            <w:r>
              <w:rPr>
                <w:sz w:val="20"/>
              </w:rPr>
              <w:t xml:space="preserve">А</w:t>
            </w:r>
          </w:p>
        </w:tc>
        <w:tc>
          <w:tcPr>
            <w:tcW w:w="2803" w:type="dxa"/>
            <w:vAlign w:val="bottom"/>
            <w:tcBorders>
              <w:top w:val="nil"/>
              <w:left w:val="nil"/>
              <w:bottom w:val="nil"/>
              <w:right w:val="nil"/>
            </w:tcBorders>
          </w:tcPr>
          <w:p>
            <w:pPr>
              <w:pStyle w:val="0"/>
              <w:jc w:val="center"/>
            </w:pPr>
            <w:r>
              <w:rPr>
                <w:sz w:val="20"/>
              </w:rPr>
              <w:t xml:space="preserve">2</w:t>
            </w:r>
          </w:p>
        </w:tc>
      </w:tr>
      <w:tr>
        <w:tc>
          <w:tcPr>
            <w:tcW w:w="3288" w:type="dxa"/>
            <w:tcBorders>
              <w:top w:val="nil"/>
              <w:left w:val="nil"/>
              <w:bottom w:val="nil"/>
              <w:right w:val="nil"/>
            </w:tcBorders>
          </w:tcPr>
          <w:p>
            <w:pPr>
              <w:pStyle w:val="0"/>
            </w:pPr>
            <w:r>
              <w:rPr>
                <w:sz w:val="20"/>
              </w:rPr>
            </w:r>
          </w:p>
        </w:tc>
        <w:tc>
          <w:tcPr>
            <w:tcW w:w="2948" w:type="dxa"/>
            <w:vAlign w:val="center"/>
            <w:tcBorders>
              <w:top w:val="nil"/>
              <w:left w:val="nil"/>
              <w:bottom w:val="nil"/>
              <w:right w:val="nil"/>
            </w:tcBorders>
          </w:tcPr>
          <w:p>
            <w:pPr>
              <w:pStyle w:val="0"/>
              <w:jc w:val="center"/>
            </w:pPr>
            <w:r>
              <w:rPr>
                <w:sz w:val="20"/>
              </w:rPr>
              <w:t xml:space="preserve">Б</w:t>
            </w:r>
          </w:p>
        </w:tc>
        <w:tc>
          <w:tcPr>
            <w:tcW w:w="2803" w:type="dxa"/>
            <w:vAlign w:val="bottom"/>
            <w:tcBorders>
              <w:top w:val="nil"/>
              <w:left w:val="nil"/>
              <w:bottom w:val="nil"/>
              <w:right w:val="nil"/>
            </w:tcBorders>
          </w:tcPr>
          <w:p>
            <w:pPr>
              <w:pStyle w:val="0"/>
              <w:jc w:val="center"/>
            </w:pPr>
            <w:r>
              <w:rPr>
                <w:sz w:val="20"/>
              </w:rPr>
              <w:t xml:space="preserve">2</w:t>
            </w:r>
          </w:p>
        </w:tc>
      </w:tr>
      <w:tr>
        <w:tc>
          <w:tcPr>
            <w:tcW w:w="3288" w:type="dxa"/>
            <w:tcBorders>
              <w:top w:val="nil"/>
              <w:left w:val="nil"/>
              <w:bottom w:val="nil"/>
              <w:right w:val="nil"/>
            </w:tcBorders>
          </w:tcPr>
          <w:p>
            <w:pPr>
              <w:pStyle w:val="0"/>
            </w:pPr>
            <w:r>
              <w:rPr>
                <w:sz w:val="20"/>
              </w:rPr>
            </w:r>
          </w:p>
        </w:tc>
        <w:tc>
          <w:tcPr>
            <w:tcW w:w="2948" w:type="dxa"/>
            <w:vAlign w:val="center"/>
            <w:tcBorders>
              <w:top w:val="nil"/>
              <w:left w:val="nil"/>
              <w:bottom w:val="nil"/>
              <w:right w:val="nil"/>
            </w:tcBorders>
          </w:tcPr>
          <w:p>
            <w:pPr>
              <w:pStyle w:val="0"/>
              <w:jc w:val="center"/>
            </w:pPr>
            <w:r>
              <w:rPr>
                <w:sz w:val="20"/>
              </w:rPr>
              <w:t xml:space="preserve">В</w:t>
            </w:r>
          </w:p>
        </w:tc>
        <w:tc>
          <w:tcPr>
            <w:tcW w:w="2803" w:type="dxa"/>
            <w:vAlign w:val="bottom"/>
            <w:tcBorders>
              <w:top w:val="nil"/>
              <w:left w:val="nil"/>
              <w:bottom w:val="nil"/>
              <w:right w:val="nil"/>
            </w:tcBorders>
          </w:tcPr>
          <w:p>
            <w:pPr>
              <w:pStyle w:val="0"/>
              <w:jc w:val="center"/>
            </w:pPr>
            <w:r>
              <w:rPr>
                <w:sz w:val="20"/>
              </w:rPr>
              <w:t xml:space="preserve">1</w:t>
            </w:r>
          </w:p>
        </w:tc>
      </w:tr>
      <w:tr>
        <w:tc>
          <w:tcPr>
            <w:tcW w:w="3288" w:type="dxa"/>
            <w:tcBorders>
              <w:top w:val="nil"/>
              <w:left w:val="nil"/>
              <w:bottom w:val="nil"/>
              <w:right w:val="nil"/>
            </w:tcBorders>
          </w:tcPr>
          <w:p>
            <w:pPr>
              <w:pStyle w:val="0"/>
            </w:pPr>
            <w:r>
              <w:rPr>
                <w:sz w:val="20"/>
              </w:rPr>
              <w:t xml:space="preserve">Средний риск</w:t>
            </w:r>
          </w:p>
        </w:tc>
        <w:tc>
          <w:tcPr>
            <w:tcW w:w="2948" w:type="dxa"/>
            <w:tcBorders>
              <w:top w:val="nil"/>
              <w:left w:val="nil"/>
              <w:bottom w:val="nil"/>
              <w:right w:val="nil"/>
            </w:tcBorders>
          </w:tcPr>
          <w:p>
            <w:pPr>
              <w:pStyle w:val="0"/>
              <w:jc w:val="center"/>
            </w:pPr>
            <w:r>
              <w:rPr>
                <w:sz w:val="20"/>
              </w:rPr>
              <w:t xml:space="preserve">А</w:t>
            </w:r>
          </w:p>
        </w:tc>
        <w:tc>
          <w:tcPr>
            <w:tcW w:w="2803" w:type="dxa"/>
            <w:tcBorders>
              <w:top w:val="nil"/>
              <w:left w:val="nil"/>
              <w:bottom w:val="nil"/>
              <w:right w:val="nil"/>
            </w:tcBorders>
          </w:tcPr>
          <w:p>
            <w:pPr>
              <w:pStyle w:val="0"/>
              <w:jc w:val="center"/>
            </w:pPr>
            <w:r>
              <w:rPr>
                <w:sz w:val="20"/>
              </w:rPr>
              <w:t xml:space="preserve">3</w:t>
            </w:r>
          </w:p>
        </w:tc>
      </w:tr>
      <w:tr>
        <w:tc>
          <w:tcPr>
            <w:tcW w:w="3288"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jc w:val="center"/>
            </w:pPr>
            <w:r>
              <w:rPr>
                <w:sz w:val="20"/>
              </w:rPr>
              <w:t xml:space="preserve">Б</w:t>
            </w:r>
          </w:p>
        </w:tc>
        <w:tc>
          <w:tcPr>
            <w:tcW w:w="2803" w:type="dxa"/>
            <w:tcBorders>
              <w:top w:val="nil"/>
              <w:left w:val="nil"/>
              <w:bottom w:val="nil"/>
              <w:right w:val="nil"/>
            </w:tcBorders>
          </w:tcPr>
          <w:p>
            <w:pPr>
              <w:pStyle w:val="0"/>
              <w:jc w:val="center"/>
            </w:pPr>
            <w:r>
              <w:rPr>
                <w:sz w:val="20"/>
              </w:rPr>
              <w:t xml:space="preserve">3</w:t>
            </w:r>
          </w:p>
        </w:tc>
      </w:tr>
      <w:tr>
        <w:tc>
          <w:tcPr>
            <w:tcW w:w="3288" w:type="dxa"/>
            <w:tcBorders>
              <w:top w:val="nil"/>
              <w:left w:val="nil"/>
              <w:bottom w:val="nil"/>
              <w:right w:val="nil"/>
            </w:tcBorders>
          </w:tcPr>
          <w:p>
            <w:pPr>
              <w:pStyle w:val="0"/>
            </w:pPr>
            <w:r>
              <w:rPr>
                <w:sz w:val="20"/>
              </w:rPr>
            </w:r>
          </w:p>
        </w:tc>
        <w:tc>
          <w:tcPr>
            <w:tcW w:w="2948" w:type="dxa"/>
            <w:vAlign w:val="center"/>
            <w:tcBorders>
              <w:top w:val="nil"/>
              <w:left w:val="nil"/>
              <w:bottom w:val="nil"/>
              <w:right w:val="nil"/>
            </w:tcBorders>
          </w:tcPr>
          <w:p>
            <w:pPr>
              <w:pStyle w:val="0"/>
              <w:jc w:val="center"/>
            </w:pPr>
            <w:r>
              <w:rPr>
                <w:sz w:val="20"/>
              </w:rPr>
              <w:t xml:space="preserve">В</w:t>
            </w:r>
          </w:p>
        </w:tc>
        <w:tc>
          <w:tcPr>
            <w:tcW w:w="2803" w:type="dxa"/>
            <w:vAlign w:val="bottom"/>
            <w:tcBorders>
              <w:top w:val="nil"/>
              <w:left w:val="nil"/>
              <w:bottom w:val="nil"/>
              <w:right w:val="nil"/>
            </w:tcBorders>
          </w:tcPr>
          <w:p>
            <w:pPr>
              <w:pStyle w:val="0"/>
              <w:jc w:val="center"/>
            </w:pPr>
            <w:r>
              <w:rPr>
                <w:sz w:val="20"/>
              </w:rPr>
              <w:t xml:space="preserve">2</w:t>
            </w:r>
          </w:p>
        </w:tc>
      </w:tr>
      <w:tr>
        <w:tc>
          <w:tcPr>
            <w:tcW w:w="3288" w:type="dxa"/>
            <w:tcBorders>
              <w:top w:val="nil"/>
              <w:left w:val="nil"/>
              <w:bottom w:val="nil"/>
              <w:right w:val="nil"/>
            </w:tcBorders>
          </w:tcPr>
          <w:p>
            <w:pPr>
              <w:pStyle w:val="0"/>
            </w:pPr>
            <w:r>
              <w:rPr>
                <w:sz w:val="20"/>
              </w:rPr>
            </w:r>
          </w:p>
        </w:tc>
        <w:tc>
          <w:tcPr>
            <w:tcW w:w="2948" w:type="dxa"/>
            <w:vAlign w:val="center"/>
            <w:tcBorders>
              <w:top w:val="nil"/>
              <w:left w:val="nil"/>
              <w:bottom w:val="nil"/>
              <w:right w:val="nil"/>
            </w:tcBorders>
          </w:tcPr>
          <w:p>
            <w:pPr>
              <w:pStyle w:val="0"/>
              <w:jc w:val="center"/>
            </w:pPr>
            <w:r>
              <w:rPr>
                <w:sz w:val="20"/>
              </w:rPr>
              <w:t xml:space="preserve">Г</w:t>
            </w:r>
          </w:p>
        </w:tc>
        <w:tc>
          <w:tcPr>
            <w:tcW w:w="2803" w:type="dxa"/>
            <w:vAlign w:val="bottom"/>
            <w:tcBorders>
              <w:top w:val="nil"/>
              <w:left w:val="nil"/>
              <w:bottom w:val="nil"/>
              <w:right w:val="nil"/>
            </w:tcBorders>
          </w:tcPr>
          <w:p>
            <w:pPr>
              <w:pStyle w:val="0"/>
              <w:jc w:val="center"/>
            </w:pPr>
            <w:r>
              <w:rPr>
                <w:sz w:val="20"/>
              </w:rPr>
              <w:t xml:space="preserve">1</w:t>
            </w:r>
          </w:p>
        </w:tc>
      </w:tr>
      <w:tr>
        <w:tc>
          <w:tcPr>
            <w:tcW w:w="3288" w:type="dxa"/>
            <w:tcBorders>
              <w:top w:val="nil"/>
              <w:left w:val="nil"/>
              <w:bottom w:val="nil"/>
              <w:right w:val="nil"/>
            </w:tcBorders>
          </w:tcPr>
          <w:p>
            <w:pPr>
              <w:pStyle w:val="0"/>
            </w:pPr>
            <w:r>
              <w:rPr>
                <w:sz w:val="20"/>
              </w:rPr>
              <w:t xml:space="preserve">Умеренный риск</w:t>
            </w:r>
          </w:p>
        </w:tc>
        <w:tc>
          <w:tcPr>
            <w:tcW w:w="2948" w:type="dxa"/>
            <w:tcBorders>
              <w:top w:val="nil"/>
              <w:left w:val="nil"/>
              <w:bottom w:val="nil"/>
              <w:right w:val="nil"/>
            </w:tcBorders>
          </w:tcPr>
          <w:p>
            <w:pPr>
              <w:pStyle w:val="0"/>
              <w:jc w:val="center"/>
            </w:pPr>
            <w:r>
              <w:rPr>
                <w:sz w:val="20"/>
              </w:rPr>
              <w:t xml:space="preserve">В</w:t>
            </w:r>
          </w:p>
        </w:tc>
        <w:tc>
          <w:tcPr>
            <w:tcW w:w="2803" w:type="dxa"/>
            <w:tcBorders>
              <w:top w:val="nil"/>
              <w:left w:val="nil"/>
              <w:bottom w:val="nil"/>
              <w:right w:val="nil"/>
            </w:tcBorders>
          </w:tcPr>
          <w:p>
            <w:pPr>
              <w:pStyle w:val="0"/>
              <w:jc w:val="center"/>
            </w:pPr>
            <w:r>
              <w:rPr>
                <w:sz w:val="20"/>
              </w:rPr>
              <w:t xml:space="preserve">3</w:t>
            </w:r>
          </w:p>
        </w:tc>
      </w:tr>
      <w:tr>
        <w:tc>
          <w:tcPr>
            <w:tcW w:w="3288" w:type="dxa"/>
            <w:tcBorders>
              <w:top w:val="nil"/>
              <w:left w:val="nil"/>
              <w:bottom w:val="nil"/>
              <w:right w:val="nil"/>
            </w:tcBorders>
          </w:tcPr>
          <w:p>
            <w:pPr>
              <w:pStyle w:val="0"/>
            </w:pPr>
            <w:r>
              <w:rPr>
                <w:sz w:val="20"/>
              </w:rPr>
            </w:r>
          </w:p>
        </w:tc>
        <w:tc>
          <w:tcPr>
            <w:tcW w:w="2948" w:type="dxa"/>
            <w:vAlign w:val="center"/>
            <w:tcBorders>
              <w:top w:val="nil"/>
              <w:left w:val="nil"/>
              <w:bottom w:val="nil"/>
              <w:right w:val="nil"/>
            </w:tcBorders>
          </w:tcPr>
          <w:p>
            <w:pPr>
              <w:pStyle w:val="0"/>
              <w:jc w:val="center"/>
            </w:pPr>
            <w:r>
              <w:rPr>
                <w:sz w:val="20"/>
              </w:rPr>
              <w:t xml:space="preserve">Г</w:t>
            </w:r>
          </w:p>
        </w:tc>
        <w:tc>
          <w:tcPr>
            <w:tcW w:w="2803" w:type="dxa"/>
            <w:vAlign w:val="center"/>
            <w:tcBorders>
              <w:top w:val="nil"/>
              <w:left w:val="nil"/>
              <w:bottom w:val="nil"/>
              <w:right w:val="nil"/>
            </w:tcBorders>
          </w:tcPr>
          <w:p>
            <w:pPr>
              <w:pStyle w:val="0"/>
              <w:jc w:val="center"/>
            </w:pPr>
            <w:r>
              <w:rPr>
                <w:sz w:val="20"/>
              </w:rPr>
              <w:t xml:space="preserve">2</w:t>
            </w:r>
          </w:p>
        </w:tc>
      </w:tr>
      <w:tr>
        <w:tc>
          <w:tcPr>
            <w:tcW w:w="3288" w:type="dxa"/>
            <w:tcBorders>
              <w:top w:val="nil"/>
              <w:left w:val="nil"/>
              <w:bottom w:val="nil"/>
              <w:right w:val="nil"/>
            </w:tcBorders>
          </w:tcPr>
          <w:p>
            <w:pPr>
              <w:pStyle w:val="0"/>
            </w:pPr>
            <w:r>
              <w:rPr>
                <w:sz w:val="20"/>
              </w:rPr>
            </w:r>
          </w:p>
        </w:tc>
        <w:tc>
          <w:tcPr>
            <w:tcW w:w="2948" w:type="dxa"/>
            <w:vAlign w:val="bottom"/>
            <w:tcBorders>
              <w:top w:val="nil"/>
              <w:left w:val="nil"/>
              <w:bottom w:val="nil"/>
              <w:right w:val="nil"/>
            </w:tcBorders>
          </w:tcPr>
          <w:p>
            <w:pPr>
              <w:pStyle w:val="0"/>
              <w:jc w:val="center"/>
            </w:pPr>
            <w:r>
              <w:rPr>
                <w:sz w:val="20"/>
              </w:rPr>
              <w:t xml:space="preserve">Г</w:t>
            </w:r>
          </w:p>
        </w:tc>
        <w:tc>
          <w:tcPr>
            <w:tcW w:w="2803" w:type="dxa"/>
            <w:vAlign w:val="bottom"/>
            <w:tcBorders>
              <w:top w:val="nil"/>
              <w:left w:val="nil"/>
              <w:bottom w:val="nil"/>
              <w:right w:val="nil"/>
            </w:tcBorders>
          </w:tcPr>
          <w:p>
            <w:pPr>
              <w:pStyle w:val="0"/>
              <w:jc w:val="center"/>
            </w:pPr>
            <w:r>
              <w:rPr>
                <w:sz w:val="20"/>
              </w:rPr>
              <w:t xml:space="preserve">3</w:t>
            </w:r>
          </w:p>
        </w:tc>
      </w:tr>
      <w:tr>
        <w:tc>
          <w:tcPr>
            <w:tcW w:w="3288" w:type="dxa"/>
            <w:vAlign w:val="bottom"/>
            <w:tcBorders>
              <w:top w:val="nil"/>
              <w:left w:val="nil"/>
              <w:bottom w:val="nil"/>
              <w:right w:val="nil"/>
            </w:tcBorders>
          </w:tcPr>
          <w:p>
            <w:pPr>
              <w:pStyle w:val="0"/>
            </w:pPr>
            <w:r>
              <w:rPr>
                <w:sz w:val="20"/>
              </w:rPr>
              <w:t xml:space="preserve">Низкий риск</w:t>
            </w:r>
          </w:p>
        </w:tc>
        <w:tc>
          <w:tcPr>
            <w:tcW w:w="2948" w:type="dxa"/>
            <w:vAlign w:val="bottom"/>
            <w:tcBorders>
              <w:top w:val="nil"/>
              <w:left w:val="nil"/>
              <w:bottom w:val="nil"/>
              <w:right w:val="nil"/>
            </w:tcBorders>
          </w:tcPr>
          <w:p>
            <w:pPr>
              <w:pStyle w:val="0"/>
              <w:jc w:val="center"/>
            </w:pPr>
            <w:r>
              <w:rPr>
                <w:sz w:val="20"/>
              </w:rPr>
              <w:t xml:space="preserve">В</w:t>
            </w:r>
          </w:p>
        </w:tc>
        <w:tc>
          <w:tcPr>
            <w:tcW w:w="2803" w:type="dxa"/>
            <w:vAlign w:val="bottom"/>
            <w:tcBorders>
              <w:top w:val="nil"/>
              <w:left w:val="nil"/>
              <w:bottom w:val="nil"/>
              <w:right w:val="nil"/>
            </w:tcBorders>
          </w:tcPr>
          <w:p>
            <w:pPr>
              <w:pStyle w:val="0"/>
              <w:jc w:val="center"/>
            </w:pPr>
            <w:r>
              <w:rPr>
                <w:sz w:val="20"/>
              </w:rPr>
              <w:t xml:space="preserve">4</w:t>
            </w:r>
          </w:p>
        </w:tc>
      </w:tr>
      <w:tr>
        <w:tc>
          <w:tcPr>
            <w:tcW w:w="3288" w:type="dxa"/>
            <w:tcBorders>
              <w:top w:val="nil"/>
              <w:left w:val="nil"/>
              <w:bottom w:val="single" w:sz="4"/>
              <w:right w:val="nil"/>
            </w:tcBorders>
          </w:tcPr>
          <w:p>
            <w:pPr>
              <w:pStyle w:val="0"/>
            </w:pPr>
            <w:r>
              <w:rPr>
                <w:sz w:val="20"/>
              </w:rPr>
            </w:r>
          </w:p>
        </w:tc>
        <w:tc>
          <w:tcPr>
            <w:tcW w:w="2948" w:type="dxa"/>
            <w:vAlign w:val="bottom"/>
            <w:tcBorders>
              <w:top w:val="nil"/>
              <w:left w:val="nil"/>
              <w:bottom w:val="single" w:sz="4"/>
              <w:right w:val="nil"/>
            </w:tcBorders>
          </w:tcPr>
          <w:p>
            <w:pPr>
              <w:pStyle w:val="0"/>
              <w:jc w:val="center"/>
            </w:pPr>
            <w:r>
              <w:rPr>
                <w:sz w:val="20"/>
              </w:rPr>
              <w:t xml:space="preserve">Г</w:t>
            </w:r>
          </w:p>
        </w:tc>
        <w:tc>
          <w:tcPr>
            <w:tcW w:w="2803" w:type="dxa"/>
            <w:vAlign w:val="bottom"/>
            <w:tcBorders>
              <w:top w:val="nil"/>
              <w:left w:val="nil"/>
              <w:bottom w:val="single" w:sz="4"/>
              <w:right w:val="nil"/>
            </w:tcBorders>
          </w:tcPr>
          <w:p>
            <w:pPr>
              <w:pStyle w:val="0"/>
              <w:jc w:val="center"/>
            </w:pPr>
            <w:r>
              <w:rPr>
                <w:sz w:val="20"/>
              </w:rPr>
              <w:t xml:space="preserve">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федеральном</w:t>
      </w:r>
    </w:p>
    <w:p>
      <w:pPr>
        <w:pStyle w:val="0"/>
        <w:jc w:val="right"/>
      </w:pPr>
      <w:r>
        <w:rPr>
          <w:sz w:val="20"/>
        </w:rPr>
        <w:t xml:space="preserve">государственном метрологическом</w:t>
      </w:r>
    </w:p>
    <w:p>
      <w:pPr>
        <w:pStyle w:val="0"/>
        <w:jc w:val="right"/>
      </w:pPr>
      <w:r>
        <w:rPr>
          <w:sz w:val="20"/>
        </w:rPr>
        <w:t xml:space="preserve">контроле (надзоре)</w:t>
      </w:r>
    </w:p>
    <w:p>
      <w:pPr>
        <w:pStyle w:val="0"/>
        <w:jc w:val="both"/>
      </w:pPr>
      <w:r>
        <w:rPr>
          <w:sz w:val="20"/>
        </w:rPr>
      </w:r>
    </w:p>
    <w:bookmarkStart w:id="382" w:name="P382"/>
    <w:bookmarkEnd w:id="382"/>
    <w:p>
      <w:pPr>
        <w:pStyle w:val="2"/>
        <w:jc w:val="center"/>
      </w:pPr>
      <w:r>
        <w:rPr>
          <w:sz w:val="20"/>
        </w:rPr>
        <w:t xml:space="preserve">ВИДЫ</w:t>
      </w:r>
    </w:p>
    <w:p>
      <w:pPr>
        <w:pStyle w:val="2"/>
        <w:jc w:val="center"/>
      </w:pPr>
      <w:r>
        <w:rPr>
          <w:sz w:val="20"/>
        </w:rPr>
        <w:t xml:space="preserve">КОНТРОЛЬНЫХ (НАДЗОРНЫХ) МЕРОПРИЯТИЙ, ПРОВЕДЕНИЕ</w:t>
      </w:r>
    </w:p>
    <w:p>
      <w:pPr>
        <w:pStyle w:val="2"/>
        <w:jc w:val="center"/>
      </w:pPr>
      <w:r>
        <w:rPr>
          <w:sz w:val="20"/>
        </w:rPr>
        <w:t xml:space="preserve">КОТОРЫХ ВОЗМОЖНО В РАМКАХ ОСУЩЕСТВЛЕНИЯ ФЕДЕРАЛЬНОГО</w:t>
      </w:r>
    </w:p>
    <w:p>
      <w:pPr>
        <w:pStyle w:val="2"/>
        <w:jc w:val="center"/>
      </w:pPr>
      <w:r>
        <w:rPr>
          <w:sz w:val="20"/>
        </w:rPr>
        <w:t xml:space="preserve">ГОСУДАРСТВЕННОГО МЕТРОЛОГИЧЕСКОГО КОНТРОЛЯ (НАДЗОРА),</w:t>
      </w:r>
    </w:p>
    <w:p>
      <w:pPr>
        <w:pStyle w:val="2"/>
        <w:jc w:val="center"/>
      </w:pPr>
      <w:r>
        <w:rPr>
          <w:sz w:val="20"/>
        </w:rPr>
        <w:t xml:space="preserve">И ПЕРЕЧЕНЬ ДОПУСТИМЫХ КОНТРОЛЬНЫХ (НАДЗОРНЫХ) ДЕЙСТВИЙ</w:t>
      </w:r>
    </w:p>
    <w:p>
      <w:pPr>
        <w:pStyle w:val="2"/>
        <w:jc w:val="center"/>
      </w:pPr>
      <w:r>
        <w:rPr>
          <w:sz w:val="20"/>
        </w:rPr>
        <w:t xml:space="preserve">В СОСТАВЕ КАЖДОГО КОНТРОЛЬНОГО (НАДЗОРНОГО) МЕРОПРИЯТИЯ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34"/>
        <w:gridCol w:w="3005"/>
        <w:gridCol w:w="5386"/>
      </w:tblGrid>
      <w:tr>
        <w:tblPrEx>
          <w:tblBorders>
            <w:insideV w:val="single" w:sz="4"/>
            <w:insideH w:val="single" w:sz="4"/>
          </w:tblBorders>
        </w:tblPrEx>
        <w:tc>
          <w:tcPr>
            <w:tcW w:w="634" w:type="dxa"/>
            <w:tcBorders>
              <w:top w:val="single" w:sz="4"/>
              <w:left w:val="nil"/>
              <w:bottom w:val="single" w:sz="4"/>
            </w:tcBorders>
          </w:tcPr>
          <w:p>
            <w:pPr>
              <w:pStyle w:val="0"/>
              <w:jc w:val="center"/>
            </w:pPr>
            <w:r>
              <w:rPr>
                <w:sz w:val="20"/>
              </w:rPr>
              <w:t xml:space="preserve">N п/п</w:t>
            </w:r>
          </w:p>
        </w:tc>
        <w:tc>
          <w:tcPr>
            <w:tcW w:w="3005" w:type="dxa"/>
            <w:tcBorders>
              <w:top w:val="single" w:sz="4"/>
              <w:bottom w:val="single" w:sz="4"/>
            </w:tcBorders>
          </w:tcPr>
          <w:p>
            <w:pPr>
              <w:pStyle w:val="0"/>
              <w:jc w:val="center"/>
            </w:pPr>
            <w:r>
              <w:rPr>
                <w:sz w:val="20"/>
              </w:rPr>
              <w:t xml:space="preserve">Контрольное (надзорное) мероприятие</w:t>
            </w:r>
          </w:p>
        </w:tc>
        <w:tc>
          <w:tcPr>
            <w:tcW w:w="5386" w:type="dxa"/>
            <w:tcBorders>
              <w:top w:val="single" w:sz="4"/>
              <w:bottom w:val="single" w:sz="4"/>
              <w:right w:val="nil"/>
            </w:tcBorders>
          </w:tcPr>
          <w:p>
            <w:pPr>
              <w:pStyle w:val="0"/>
              <w:jc w:val="center"/>
            </w:pPr>
            <w:r>
              <w:rPr>
                <w:sz w:val="20"/>
              </w:rPr>
              <w:t xml:space="preserve">Контрольные (надзорные) действия</w:t>
            </w:r>
          </w:p>
        </w:tc>
      </w:tr>
      <w:tr>
        <w:tc>
          <w:tcPr>
            <w:gridSpan w:val="3"/>
            <w:tcW w:w="9025" w:type="dxa"/>
            <w:tcBorders>
              <w:top w:val="single" w:sz="4"/>
              <w:left w:val="nil"/>
              <w:bottom w:val="nil"/>
              <w:right w:val="nil"/>
            </w:tcBorders>
          </w:tcPr>
          <w:p>
            <w:pPr>
              <w:pStyle w:val="0"/>
              <w:outlineLvl w:val="2"/>
              <w:jc w:val="center"/>
            </w:pPr>
            <w:r>
              <w:rPr>
                <w:sz w:val="20"/>
              </w:rPr>
              <w:t xml:space="preserve">Взаимодействие с контролируемым лицом</w:t>
            </w:r>
          </w:p>
        </w:tc>
      </w:tr>
      <w:tr>
        <w:tc>
          <w:tcPr>
            <w:tcW w:w="634" w:type="dxa"/>
            <w:tcBorders>
              <w:top w:val="nil"/>
              <w:left w:val="nil"/>
              <w:bottom w:val="nil"/>
              <w:right w:val="nil"/>
            </w:tcBorders>
          </w:tcPr>
          <w:p>
            <w:pPr>
              <w:pStyle w:val="0"/>
              <w:jc w:val="center"/>
            </w:pPr>
            <w:r>
              <w:rPr>
                <w:sz w:val="20"/>
              </w:rPr>
              <w:t xml:space="preserve">1.</w:t>
            </w:r>
          </w:p>
        </w:tc>
        <w:tc>
          <w:tcPr>
            <w:tcW w:w="3005" w:type="dxa"/>
            <w:tcBorders>
              <w:top w:val="nil"/>
              <w:left w:val="nil"/>
              <w:bottom w:val="nil"/>
              <w:right w:val="nil"/>
            </w:tcBorders>
          </w:tcPr>
          <w:p>
            <w:pPr>
              <w:pStyle w:val="0"/>
            </w:pPr>
            <w:r>
              <w:rPr>
                <w:sz w:val="20"/>
              </w:rPr>
              <w:t xml:space="preserve">Мониторинговая закупка</w:t>
            </w:r>
          </w:p>
        </w:tc>
        <w:tc>
          <w:tcPr>
            <w:tcW w:w="5386" w:type="dxa"/>
            <w:tcBorders>
              <w:top w:val="nil"/>
              <w:left w:val="nil"/>
              <w:bottom w:val="nil"/>
              <w:right w:val="nil"/>
            </w:tcBorders>
          </w:tcPr>
          <w:p>
            <w:pPr>
              <w:pStyle w:val="0"/>
              <w:jc w:val="both"/>
            </w:pPr>
            <w:r>
              <w:rPr>
                <w:sz w:val="20"/>
              </w:rPr>
              <w:t xml:space="preserve">1) осмотр;</w:t>
            </w:r>
          </w:p>
          <w:p>
            <w:pPr>
              <w:pStyle w:val="0"/>
              <w:jc w:val="both"/>
            </w:pPr>
            <w:r>
              <w:rPr>
                <w:sz w:val="20"/>
              </w:rPr>
              <w:t xml:space="preserve">2) опрос;</w:t>
            </w:r>
          </w:p>
          <w:p>
            <w:pPr>
              <w:pStyle w:val="0"/>
              <w:jc w:val="both"/>
            </w:pPr>
            <w:r>
              <w:rPr>
                <w:sz w:val="20"/>
              </w:rPr>
              <w:t xml:space="preserve">3) инструментальное обследование;</w:t>
            </w:r>
          </w:p>
          <w:p>
            <w:pPr>
              <w:pStyle w:val="0"/>
              <w:jc w:val="both"/>
            </w:pPr>
            <w:r>
              <w:rPr>
                <w:sz w:val="20"/>
              </w:rPr>
              <w:t xml:space="preserve">4) истребование документов;</w:t>
            </w:r>
          </w:p>
          <w:p>
            <w:pPr>
              <w:pStyle w:val="0"/>
              <w:jc w:val="both"/>
            </w:pPr>
            <w:r>
              <w:rPr>
                <w:sz w:val="20"/>
              </w:rPr>
              <w:t xml:space="preserve">5) экспертиза</w:t>
            </w:r>
          </w:p>
        </w:tc>
      </w:tr>
      <w:tr>
        <w:tc>
          <w:tcPr>
            <w:tcW w:w="634" w:type="dxa"/>
            <w:tcBorders>
              <w:top w:val="nil"/>
              <w:left w:val="nil"/>
              <w:bottom w:val="nil"/>
              <w:right w:val="nil"/>
            </w:tcBorders>
          </w:tcPr>
          <w:p>
            <w:pPr>
              <w:pStyle w:val="0"/>
              <w:jc w:val="center"/>
            </w:pPr>
            <w:r>
              <w:rPr>
                <w:sz w:val="20"/>
              </w:rPr>
              <w:t xml:space="preserve">2.</w:t>
            </w:r>
          </w:p>
        </w:tc>
        <w:tc>
          <w:tcPr>
            <w:tcW w:w="3005" w:type="dxa"/>
            <w:tcBorders>
              <w:top w:val="nil"/>
              <w:left w:val="nil"/>
              <w:bottom w:val="nil"/>
              <w:right w:val="nil"/>
            </w:tcBorders>
          </w:tcPr>
          <w:p>
            <w:pPr>
              <w:pStyle w:val="0"/>
            </w:pPr>
            <w:r>
              <w:rPr>
                <w:sz w:val="20"/>
              </w:rPr>
              <w:t xml:space="preserve">Инспекционный визит</w:t>
            </w:r>
          </w:p>
        </w:tc>
        <w:tc>
          <w:tcPr>
            <w:tcW w:w="5386" w:type="dxa"/>
            <w:tcBorders>
              <w:top w:val="nil"/>
              <w:left w:val="nil"/>
              <w:bottom w:val="nil"/>
              <w:right w:val="nil"/>
            </w:tcBorders>
          </w:tcPr>
          <w:p>
            <w:pPr>
              <w:pStyle w:val="0"/>
              <w:jc w:val="both"/>
            </w:pPr>
            <w:r>
              <w:rPr>
                <w:sz w:val="20"/>
              </w:rPr>
              <w:t xml:space="preserve">1) осмотр;</w:t>
            </w:r>
          </w:p>
          <w:p>
            <w:pPr>
              <w:pStyle w:val="0"/>
              <w:jc w:val="both"/>
            </w:pPr>
            <w:r>
              <w:rPr>
                <w:sz w:val="20"/>
              </w:rPr>
              <w:t xml:space="preserve">2) опрос;</w:t>
            </w:r>
          </w:p>
          <w:p>
            <w:pPr>
              <w:pStyle w:val="0"/>
              <w:jc w:val="both"/>
            </w:pPr>
            <w:r>
              <w:rPr>
                <w:sz w:val="20"/>
              </w:rPr>
              <w:t xml:space="preserve">3) получение письменных объяснений;</w:t>
            </w:r>
          </w:p>
          <w:p>
            <w:pPr>
              <w:pStyle w:val="0"/>
              <w:jc w:val="both"/>
            </w:pPr>
            <w:r>
              <w:rPr>
                <w:sz w:val="20"/>
              </w:rPr>
              <w:t xml:space="preserve">4) инструментальное обследование;</w:t>
            </w:r>
          </w:p>
          <w:p>
            <w:pPr>
              <w:pStyle w:val="0"/>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tc>
          <w:tcPr>
            <w:tcW w:w="634" w:type="dxa"/>
            <w:tcBorders>
              <w:top w:val="nil"/>
              <w:left w:val="nil"/>
              <w:bottom w:val="nil"/>
              <w:right w:val="nil"/>
            </w:tcBorders>
          </w:tcPr>
          <w:p>
            <w:pPr>
              <w:pStyle w:val="0"/>
              <w:jc w:val="center"/>
            </w:pPr>
            <w:r>
              <w:rPr>
                <w:sz w:val="20"/>
              </w:rPr>
              <w:t xml:space="preserve">3.</w:t>
            </w:r>
          </w:p>
        </w:tc>
        <w:tc>
          <w:tcPr>
            <w:tcW w:w="3005" w:type="dxa"/>
            <w:tcBorders>
              <w:top w:val="nil"/>
              <w:left w:val="nil"/>
              <w:bottom w:val="nil"/>
              <w:right w:val="nil"/>
            </w:tcBorders>
          </w:tcPr>
          <w:p>
            <w:pPr>
              <w:pStyle w:val="0"/>
            </w:pPr>
            <w:r>
              <w:rPr>
                <w:sz w:val="20"/>
              </w:rPr>
              <w:t xml:space="preserve">Рейдовый осмотр</w:t>
            </w:r>
          </w:p>
        </w:tc>
        <w:tc>
          <w:tcPr>
            <w:tcW w:w="5386" w:type="dxa"/>
            <w:tcBorders>
              <w:top w:val="nil"/>
              <w:left w:val="nil"/>
              <w:bottom w:val="nil"/>
              <w:right w:val="nil"/>
            </w:tcBorders>
          </w:tcPr>
          <w:p>
            <w:pPr>
              <w:pStyle w:val="0"/>
              <w:jc w:val="both"/>
            </w:pPr>
            <w:r>
              <w:rPr>
                <w:sz w:val="20"/>
              </w:rPr>
              <w:t xml:space="preserve">1) осмотр;</w:t>
            </w:r>
          </w:p>
          <w:p>
            <w:pPr>
              <w:pStyle w:val="0"/>
              <w:jc w:val="both"/>
            </w:pPr>
            <w:r>
              <w:rPr>
                <w:sz w:val="20"/>
              </w:rPr>
              <w:t xml:space="preserve">2) опрос;</w:t>
            </w:r>
          </w:p>
          <w:p>
            <w:pPr>
              <w:pStyle w:val="0"/>
              <w:jc w:val="both"/>
            </w:pPr>
            <w:r>
              <w:rPr>
                <w:sz w:val="20"/>
              </w:rPr>
              <w:t xml:space="preserve">3) получение письменных объяснений;</w:t>
            </w:r>
          </w:p>
          <w:p>
            <w:pPr>
              <w:pStyle w:val="0"/>
              <w:jc w:val="both"/>
            </w:pPr>
            <w:r>
              <w:rPr>
                <w:sz w:val="20"/>
              </w:rPr>
              <w:t xml:space="preserve">4) истребование документов;</w:t>
            </w:r>
          </w:p>
          <w:p>
            <w:pPr>
              <w:pStyle w:val="0"/>
              <w:jc w:val="both"/>
            </w:pPr>
            <w:r>
              <w:rPr>
                <w:sz w:val="20"/>
              </w:rPr>
              <w:t xml:space="preserve">5) отбор проб (образцов);</w:t>
            </w:r>
          </w:p>
          <w:p>
            <w:pPr>
              <w:pStyle w:val="0"/>
              <w:jc w:val="both"/>
            </w:pPr>
            <w:r>
              <w:rPr>
                <w:sz w:val="20"/>
              </w:rPr>
              <w:t xml:space="preserve">6) инструментальное обследование;</w:t>
            </w:r>
          </w:p>
          <w:p>
            <w:pPr>
              <w:pStyle w:val="0"/>
              <w:jc w:val="both"/>
            </w:pPr>
            <w:r>
              <w:rPr>
                <w:sz w:val="20"/>
              </w:rPr>
              <w:t xml:space="preserve">7) экспертиза</w:t>
            </w:r>
          </w:p>
        </w:tc>
      </w:tr>
      <w:tr>
        <w:tc>
          <w:tcPr>
            <w:tcW w:w="634" w:type="dxa"/>
            <w:tcBorders>
              <w:top w:val="nil"/>
              <w:left w:val="nil"/>
              <w:bottom w:val="nil"/>
              <w:right w:val="nil"/>
            </w:tcBorders>
          </w:tcPr>
          <w:p>
            <w:pPr>
              <w:pStyle w:val="0"/>
              <w:jc w:val="center"/>
            </w:pPr>
            <w:r>
              <w:rPr>
                <w:sz w:val="20"/>
              </w:rPr>
              <w:t xml:space="preserve">4.</w:t>
            </w:r>
          </w:p>
        </w:tc>
        <w:tc>
          <w:tcPr>
            <w:tcW w:w="3005" w:type="dxa"/>
            <w:tcBorders>
              <w:top w:val="nil"/>
              <w:left w:val="nil"/>
              <w:bottom w:val="nil"/>
              <w:right w:val="nil"/>
            </w:tcBorders>
          </w:tcPr>
          <w:p>
            <w:pPr>
              <w:pStyle w:val="0"/>
            </w:pPr>
            <w:r>
              <w:rPr>
                <w:sz w:val="20"/>
              </w:rPr>
              <w:t xml:space="preserve">Документарная проверка</w:t>
            </w:r>
          </w:p>
        </w:tc>
        <w:tc>
          <w:tcPr>
            <w:tcW w:w="5386" w:type="dxa"/>
            <w:tcBorders>
              <w:top w:val="nil"/>
              <w:left w:val="nil"/>
              <w:bottom w:val="nil"/>
              <w:right w:val="nil"/>
            </w:tcBorders>
          </w:tcPr>
          <w:p>
            <w:pPr>
              <w:pStyle w:val="0"/>
              <w:jc w:val="both"/>
            </w:pPr>
            <w:r>
              <w:rPr>
                <w:sz w:val="20"/>
              </w:rPr>
              <w:t xml:space="preserve">1) получение письменных объяснений;</w:t>
            </w:r>
          </w:p>
          <w:p>
            <w:pPr>
              <w:pStyle w:val="0"/>
              <w:jc w:val="both"/>
            </w:pPr>
            <w:r>
              <w:rPr>
                <w:sz w:val="20"/>
              </w:rPr>
              <w:t xml:space="preserve">2) истребование документов;</w:t>
            </w:r>
          </w:p>
          <w:p>
            <w:pPr>
              <w:pStyle w:val="0"/>
              <w:jc w:val="both"/>
            </w:pPr>
            <w:r>
              <w:rPr>
                <w:sz w:val="20"/>
              </w:rPr>
              <w:t xml:space="preserve">3) экспертиза</w:t>
            </w:r>
          </w:p>
        </w:tc>
      </w:tr>
      <w:tr>
        <w:tc>
          <w:tcPr>
            <w:tcW w:w="634" w:type="dxa"/>
            <w:tcBorders>
              <w:top w:val="nil"/>
              <w:left w:val="nil"/>
              <w:bottom w:val="nil"/>
              <w:right w:val="nil"/>
            </w:tcBorders>
          </w:tcPr>
          <w:p>
            <w:pPr>
              <w:pStyle w:val="0"/>
              <w:jc w:val="center"/>
            </w:pPr>
            <w:r>
              <w:rPr>
                <w:sz w:val="20"/>
              </w:rPr>
              <w:t xml:space="preserve">5.</w:t>
            </w:r>
          </w:p>
        </w:tc>
        <w:tc>
          <w:tcPr>
            <w:tcW w:w="3005" w:type="dxa"/>
            <w:tcBorders>
              <w:top w:val="nil"/>
              <w:left w:val="nil"/>
              <w:bottom w:val="nil"/>
              <w:right w:val="nil"/>
            </w:tcBorders>
          </w:tcPr>
          <w:p>
            <w:pPr>
              <w:pStyle w:val="0"/>
            </w:pPr>
            <w:r>
              <w:rPr>
                <w:sz w:val="20"/>
              </w:rPr>
              <w:t xml:space="preserve">Выездная проверка</w:t>
            </w:r>
          </w:p>
        </w:tc>
        <w:tc>
          <w:tcPr>
            <w:tcW w:w="5386" w:type="dxa"/>
            <w:tcBorders>
              <w:top w:val="nil"/>
              <w:left w:val="nil"/>
              <w:bottom w:val="nil"/>
              <w:right w:val="nil"/>
            </w:tcBorders>
          </w:tcPr>
          <w:p>
            <w:pPr>
              <w:pStyle w:val="0"/>
              <w:jc w:val="both"/>
            </w:pPr>
            <w:r>
              <w:rPr>
                <w:sz w:val="20"/>
              </w:rPr>
              <w:t xml:space="preserve">1) осмотр;</w:t>
            </w:r>
          </w:p>
          <w:p>
            <w:pPr>
              <w:pStyle w:val="0"/>
              <w:jc w:val="both"/>
            </w:pPr>
            <w:r>
              <w:rPr>
                <w:sz w:val="20"/>
              </w:rPr>
              <w:t xml:space="preserve">2) опрос;</w:t>
            </w:r>
          </w:p>
          <w:p>
            <w:pPr>
              <w:pStyle w:val="0"/>
              <w:jc w:val="both"/>
            </w:pPr>
            <w:r>
              <w:rPr>
                <w:sz w:val="20"/>
              </w:rPr>
              <w:t xml:space="preserve">3) получение письменных объяснений;</w:t>
            </w:r>
          </w:p>
          <w:p>
            <w:pPr>
              <w:pStyle w:val="0"/>
              <w:jc w:val="both"/>
            </w:pPr>
            <w:r>
              <w:rPr>
                <w:sz w:val="20"/>
              </w:rPr>
              <w:t xml:space="preserve">4) истребование документов;</w:t>
            </w:r>
          </w:p>
          <w:p>
            <w:pPr>
              <w:pStyle w:val="0"/>
              <w:jc w:val="both"/>
            </w:pPr>
            <w:r>
              <w:rPr>
                <w:sz w:val="20"/>
              </w:rPr>
              <w:t xml:space="preserve">5) отбор проб (образцов);</w:t>
            </w:r>
          </w:p>
          <w:p>
            <w:pPr>
              <w:pStyle w:val="0"/>
              <w:jc w:val="both"/>
            </w:pPr>
            <w:r>
              <w:rPr>
                <w:sz w:val="20"/>
              </w:rPr>
              <w:t xml:space="preserve">6) инструментальное обследование;</w:t>
            </w:r>
          </w:p>
          <w:p>
            <w:pPr>
              <w:pStyle w:val="0"/>
              <w:jc w:val="both"/>
            </w:pPr>
            <w:r>
              <w:rPr>
                <w:sz w:val="20"/>
              </w:rPr>
              <w:t xml:space="preserve">7) экспертиза</w:t>
            </w:r>
          </w:p>
        </w:tc>
      </w:tr>
      <w:tr>
        <w:tc>
          <w:tcPr>
            <w:gridSpan w:val="3"/>
            <w:tcW w:w="9025" w:type="dxa"/>
            <w:tcBorders>
              <w:top w:val="nil"/>
              <w:left w:val="nil"/>
              <w:bottom w:val="nil"/>
              <w:right w:val="nil"/>
            </w:tcBorders>
          </w:tcPr>
          <w:p>
            <w:pPr>
              <w:pStyle w:val="0"/>
              <w:outlineLvl w:val="2"/>
              <w:jc w:val="center"/>
            </w:pPr>
            <w:r>
              <w:rPr>
                <w:sz w:val="20"/>
              </w:rPr>
              <w:t xml:space="preserve">Без взаимодействия с контролируемым лицом</w:t>
            </w:r>
          </w:p>
        </w:tc>
      </w:tr>
      <w:tr>
        <w:tc>
          <w:tcPr>
            <w:tcW w:w="634" w:type="dxa"/>
            <w:tcBorders>
              <w:top w:val="nil"/>
              <w:left w:val="nil"/>
              <w:bottom w:val="single" w:sz="4"/>
              <w:right w:val="nil"/>
            </w:tcBorders>
          </w:tcPr>
          <w:p>
            <w:pPr>
              <w:pStyle w:val="0"/>
              <w:jc w:val="center"/>
            </w:pPr>
            <w:r>
              <w:rPr>
                <w:sz w:val="20"/>
              </w:rPr>
              <w:t xml:space="preserve">6.</w:t>
            </w:r>
          </w:p>
        </w:tc>
        <w:tc>
          <w:tcPr>
            <w:tcW w:w="3005" w:type="dxa"/>
            <w:tcBorders>
              <w:top w:val="nil"/>
              <w:left w:val="nil"/>
              <w:bottom w:val="single" w:sz="4"/>
              <w:right w:val="nil"/>
            </w:tcBorders>
          </w:tcPr>
          <w:p>
            <w:pPr>
              <w:pStyle w:val="0"/>
            </w:pPr>
            <w:r>
              <w:rPr>
                <w:sz w:val="20"/>
              </w:rPr>
              <w:t xml:space="preserve">Выездное обследование</w:t>
            </w:r>
          </w:p>
        </w:tc>
        <w:tc>
          <w:tcPr>
            <w:tcW w:w="5386" w:type="dxa"/>
            <w:tcBorders>
              <w:top w:val="nil"/>
              <w:left w:val="nil"/>
              <w:bottom w:val="single" w:sz="4"/>
              <w:right w:val="nil"/>
            </w:tcBorders>
          </w:tcPr>
          <w:p>
            <w:pPr>
              <w:pStyle w:val="0"/>
            </w:pPr>
            <w:r>
              <w:rPr>
                <w:sz w:val="20"/>
              </w:rPr>
              <w:t xml:space="preserve">осмотр общедоступных (открытых для посещения неограниченным кругом лиц) производственных объектов</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29.06.2021 N 1053</w:t>
            <w:br/>
            <w:t>(ред. от 20.04.2022)</w:t>
            <w:br/>
            <w:t>"Об утверждении Положения о федеральном государ...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BA8FAB5255E57FEC77963FA1862F1C4F0152D0147D72B974577FDAFE502BBEDA95737E343BA8581DB4034BDF1227E76D514E740EF011F1AN2H7C" TargetMode = "External"/>
	<Relationship Id="rId8" Type="http://schemas.openxmlformats.org/officeDocument/2006/relationships/hyperlink" Target="consultantplus://offline/ref=2BA8FAB5255E57FEC77963FA1862F1C4F014290041D12B974577FDAFE502BBEDA95737E343BA8581DB4034BDF1227E76D514E740EF011F1AN2H7C" TargetMode = "External"/>
	<Relationship Id="rId9" Type="http://schemas.openxmlformats.org/officeDocument/2006/relationships/hyperlink" Target="consultantplus://offline/ref=2BA8FAB5255E57FEC77963FA1862F1C4F71D2B0243DE2B974577FDAFE502BBEDA95737EA47B1D1D09A1E6DEDB6697374C808E741NFH2C" TargetMode = "External"/>
	<Relationship Id="rId10" Type="http://schemas.openxmlformats.org/officeDocument/2006/relationships/hyperlink" Target="consultantplus://offline/ref=2BA8FAB5255E57FEC77963FA1862F1C4F0172E0742DF2B974577FDAFE502BBEDA95737E343BA8589DB4034BDF1227E76D514E740EF011F1AN2H7C" TargetMode = "External"/>
	<Relationship Id="rId11" Type="http://schemas.openxmlformats.org/officeDocument/2006/relationships/hyperlink" Target="consultantplus://offline/ref=2BA8FAB5255E57FEC77963FA1862F1C4F61D2A0040D32B974577FDAFE502BBEDBB576FEF42B99B81DD5562ECB7N7H4C" TargetMode = "External"/>
	<Relationship Id="rId12" Type="http://schemas.openxmlformats.org/officeDocument/2006/relationships/hyperlink" Target="consultantplus://offline/ref=2BA8FAB5255E57FEC77963FA1862F1C4F7102B004BD42B974577FDAFE502BBEDA95737E343BA8084DA4034BDF1227E76D514E740EF011F1AN2H7C" TargetMode = "External"/>
	<Relationship Id="rId13" Type="http://schemas.openxmlformats.org/officeDocument/2006/relationships/hyperlink" Target="consultantplus://offline/ref=2BA8FAB5255E57FEC77963FA1862F1C4F61D2A0740D42B974577FDAFE502BBEDBB576FEF42B99B81DD5562ECB7N7H4C" TargetMode = "External"/>
	<Relationship Id="rId14" Type="http://schemas.openxmlformats.org/officeDocument/2006/relationships/hyperlink" Target="consultantplus://offline/ref=2BA8FAB5255E57FEC77963FA1862F1C4F0152D0147D72B974577FDAFE502BBEDA95737E343BA8581DB4034BDF1227E76D514E740EF011F1AN2H7C" TargetMode = "External"/>
	<Relationship Id="rId15" Type="http://schemas.openxmlformats.org/officeDocument/2006/relationships/hyperlink" Target="consultantplus://offline/ref=2BA8FAB5255E57FEC77963FA1862F1C4F014290041D12B974577FDAFE502BBEDA95737E343BA8581DB4034BDF1227E76D514E740EF011F1AN2H7C" TargetMode = "External"/>
	<Relationship Id="rId16" Type="http://schemas.openxmlformats.org/officeDocument/2006/relationships/hyperlink" Target="consultantplus://offline/ref=2BA8FAB5255E57FEC77963FA1862F1C4F0172E0742DF2B974577FDAFE502BBEDBB576FEF42B99B81DD5562ECB7N7H4C" TargetMode = "External"/>
	<Relationship Id="rId17" Type="http://schemas.openxmlformats.org/officeDocument/2006/relationships/hyperlink" Target="consultantplus://offline/ref=2BA8FAB5255E57FEC77963FA1862F1C4F71D2B0243DE2B974577FDAFE502BBEDBB576FEF42B99B81DD5562ECB7N7H4C" TargetMode = "External"/>
	<Relationship Id="rId18" Type="http://schemas.openxmlformats.org/officeDocument/2006/relationships/hyperlink" Target="consultantplus://offline/ref=2BA8FAB5255E57FEC77963FA1862F1C4F71D2B0243DE2B974577FDAFE502BBEDA95737E343BA8589DC4034BDF1227E76D514E740EF011F1AN2H7C" TargetMode = "External"/>
	<Relationship Id="rId19" Type="http://schemas.openxmlformats.org/officeDocument/2006/relationships/hyperlink" Target="consultantplus://offline/ref=2BA8FAB5255E57FEC77963FA1862F1C4F71D2B0243DE2B974577FDAFE502BBEDA95737E74AB1D1D09A1E6DEDB6697374C808E741NFH2C" TargetMode = "External"/>
	<Relationship Id="rId20" Type="http://schemas.openxmlformats.org/officeDocument/2006/relationships/hyperlink" Target="consultantplus://offline/ref=2BA8FAB5255E57FEC77963FA1862F1C4F71D2B0243DE2B974577FDAFE502BBEDA95737E343BA8481DE4034BDF1227E76D514E740EF011F1AN2H7C" TargetMode = "External"/>
	<Relationship Id="rId21" Type="http://schemas.openxmlformats.org/officeDocument/2006/relationships/hyperlink" Target="consultantplus://offline/ref=2BA8FAB5255E57FEC77963FA1862F1C4F71D2B0243DE2B974577FDAFE502BBEDA95737E04BB1D1D09A1E6DEDB6697374C808E741NFH2C" TargetMode = "External"/>
	<Relationship Id="rId22" Type="http://schemas.openxmlformats.org/officeDocument/2006/relationships/hyperlink" Target="consultantplus://offline/ref=2BA8FAB5255E57FEC77963FA1862F1C4F71D2B0243DE2B974577FDAFE502BBEDA95737E343BA8589DC4034BDF1227E76D514E740EF011F1AN2H7C" TargetMode = "External"/>
	<Relationship Id="rId23" Type="http://schemas.openxmlformats.org/officeDocument/2006/relationships/hyperlink" Target="consultantplus://offline/ref=2BA8FAB5255E57FEC77963FA1862F1C4F71D2B0243DE2B974577FDAFE502BBEDA95737E74AB1D1D09A1E6DEDB6697374C808E741NFH2C" TargetMode = "External"/>
	<Relationship Id="rId24" Type="http://schemas.openxmlformats.org/officeDocument/2006/relationships/hyperlink" Target="consultantplus://offline/ref=2BA8FAB5255E57FEC77963FA1862F1C4F71D2B0243DE2B974577FDAFE502BBEDA95737E04BB1D1D09A1E6DEDB6697374C808E741NFH2C" TargetMode = "External"/>
	<Relationship Id="rId25" Type="http://schemas.openxmlformats.org/officeDocument/2006/relationships/hyperlink" Target="consultantplus://offline/ref=2BA8FAB5255E57FEC77963FA1862F1C4F71D2B0243DE2B974577FDAFE502BBEDA95737E343BA8589DC4034BDF1227E76D514E740EF011F1AN2H7C" TargetMode = "External"/>
	<Relationship Id="rId26" Type="http://schemas.openxmlformats.org/officeDocument/2006/relationships/hyperlink" Target="consultantplus://offline/ref=2BA8FAB5255E57FEC77963FA1862F1C4F71D2B0243DE2B974577FDAFE502BBEDA95737E343BA8588DD4034BDF1227E76D514E740EF011F1AN2H7C" TargetMode = "External"/>
	<Relationship Id="rId27" Type="http://schemas.openxmlformats.org/officeDocument/2006/relationships/hyperlink" Target="consultantplus://offline/ref=2BA8FAB5255E57FEC77963FA1862F1C4F71D2B0243DE2B974577FDAFE502BBEDA95737E040B1D1D09A1E6DEDB6697374C808E741NFH2C" TargetMode = "External"/>
	<Relationship Id="rId28" Type="http://schemas.openxmlformats.org/officeDocument/2006/relationships/hyperlink" Target="consultantplus://offline/ref=2BA8FAB5255E57FEC77963FA1862F1C4F71D2B0243DE2B974577FDAFE502BBEDA95737E343BA8588DA4034BDF1227E76D514E740EF011F1AN2H7C" TargetMode = "External"/>
	<Relationship Id="rId29" Type="http://schemas.openxmlformats.org/officeDocument/2006/relationships/hyperlink" Target="consultantplus://offline/ref=2BA8FAB5255E57FEC77963FA1862F1C4F71D2B0243DE2B974577FDAFE502BBEDA95737E048EED4C58B4661EFAB777069D40AE5N4H0C" TargetMode = "External"/>
	<Relationship Id="rId30" Type="http://schemas.openxmlformats.org/officeDocument/2006/relationships/hyperlink" Target="consultantplus://offline/ref=2BA8FAB5255E57FEC77963FA1862F1C4F71D2B0243DE2B974577FDAFE502BBEDA95737E343BA8586D94034BDF1227E76D514E740EF011F1AN2H7C" TargetMode = "External"/>
	<Relationship Id="rId31" Type="http://schemas.openxmlformats.org/officeDocument/2006/relationships/hyperlink" Target="consultantplus://offline/ref=2BA8FAB5255E57FEC77963FA1862F1C4F71D2B0243DE2B974577FDAFE502BBEDA95737E343BA8589DC4034BDF1227E76D514E740EF011F1AN2H7C" TargetMode = "External"/>
	<Relationship Id="rId32" Type="http://schemas.openxmlformats.org/officeDocument/2006/relationships/hyperlink" Target="consultantplus://offline/ref=2BA8FAB5255E57FEC77963FA1862F1C4F71D2B0243DE2B974577FDAFE502BBEDA95737E74AB1D1D09A1E6DEDB6697374C808E741NFH2C" TargetMode = "External"/>
	<Relationship Id="rId33" Type="http://schemas.openxmlformats.org/officeDocument/2006/relationships/hyperlink" Target="consultantplus://offline/ref=2BA8FAB5255E57FEC77963FA1862F1C4F71D2B0243DE2B974577FDAFE502BBEDA95737E441B1D1D09A1E6DEDB6697374C808E741NFH2C" TargetMode = "External"/>
	<Relationship Id="rId34" Type="http://schemas.openxmlformats.org/officeDocument/2006/relationships/hyperlink" Target="consultantplus://offline/ref=2BA8FAB5255E57FEC77963FA1862F1C4F71D2B0243DE2B974577FDAFE502BBEDA95737E343BA8480DA4034BDF1227E76D514E740EF011F1AN2H7C" TargetMode = "External"/>
	<Relationship Id="rId35" Type="http://schemas.openxmlformats.org/officeDocument/2006/relationships/hyperlink" Target="consultantplus://offline/ref=2BA8FAB5255E57FEC77963FA1862F1C4F71D2B0243DE2B974577FDAFE502BBEDA95737E343BA8480DA4034BDF1227E76D514E740EF011F1AN2H7C" TargetMode = "External"/>
	<Relationship Id="rId36" Type="http://schemas.openxmlformats.org/officeDocument/2006/relationships/hyperlink" Target="consultantplus://offline/ref=2BA8FAB5255E57FEC77963FA1862F1C4F71D2B0243DE2B974577FDAFE502BBEDA95737E343BA8588D74034BDF1227E76D514E740EF011F1AN2H7C" TargetMode = "External"/>
	<Relationship Id="rId37" Type="http://schemas.openxmlformats.org/officeDocument/2006/relationships/hyperlink" Target="consultantplus://offline/ref=2BA8FAB5255E57FEC77963FA1862F1C4F71D2B0243DE2B974577FDAFE502BBEDA95737E343BA8588D74034BDF1227E76D514E740EF011F1AN2H7C" TargetMode = "External"/>
	<Relationship Id="rId38" Type="http://schemas.openxmlformats.org/officeDocument/2006/relationships/hyperlink" Target="consultantplus://offline/ref=2BA8FAB5255E57FEC77963FA1862F1C4F71D2B0243DE2B974577FDAFE502BBEDA95737E543B1D1D09A1E6DEDB6697374C808E741NFH2C" TargetMode = "External"/>
	<Relationship Id="rId39" Type="http://schemas.openxmlformats.org/officeDocument/2006/relationships/hyperlink" Target="consultantplus://offline/ref=2BA8FAB5255E57FEC77963FA1862F1C4F71D2B0243DE2B974577FDAFE502BBEDA95737E543B1D1D09A1E6DEDB6697374C808E741NFH2C" TargetMode = "External"/>
	<Relationship Id="rId40" Type="http://schemas.openxmlformats.org/officeDocument/2006/relationships/hyperlink" Target="consultantplus://offline/ref=2BA8FAB5255E57FEC77963FA1862F1C4F71D2B0243DE2B974577FDAFE502BBEDA95737E04BB1D1D09A1E6DEDB6697374C808E741NFH2C" TargetMode = "External"/>
	<Relationship Id="rId41" Type="http://schemas.openxmlformats.org/officeDocument/2006/relationships/hyperlink" Target="consultantplus://offline/ref=2BA8FAB5255E57FEC77963FA1862F1C4F71D2B0243DE2B974577FDAFE502BBEDA95737E343BA8589DC4034BDF1227E76D514E740EF011F1AN2H7C" TargetMode = "External"/>
	<Relationship Id="rId42" Type="http://schemas.openxmlformats.org/officeDocument/2006/relationships/hyperlink" Target="consultantplus://offline/ref=2BA8FAB5255E57FEC77963FA1862F1C4F71D2B0243DE2B974577FDAFE502BBEDA95737E74AB1D1D09A1E6DEDB6697374C808E741NFH2C" TargetMode = "External"/>
	<Relationship Id="rId43" Type="http://schemas.openxmlformats.org/officeDocument/2006/relationships/hyperlink" Target="consultantplus://offline/ref=2BA8FAB5255E57FEC77963FA1862F1C4F71D2B0243DE2B974577FDAFE502BBEDA95737E343BA8586D94034BDF1227E76D514E740EF011F1AN2H7C" TargetMode = "External"/>
	<Relationship Id="rId44" Type="http://schemas.openxmlformats.org/officeDocument/2006/relationships/hyperlink" Target="consultantplus://offline/ref=2BA8FAB5255E57FEC77963FA1862F1C4F71D2B0243DE2B974577FDAFE502BBEDA95737E343BA8589DC4034BDF1227E76D514E740EF011F1AN2H7C" TargetMode = "External"/>
	<Relationship Id="rId45" Type="http://schemas.openxmlformats.org/officeDocument/2006/relationships/hyperlink" Target="consultantplus://offline/ref=2BA8FAB5255E57FEC77963FA1862F1C4F71D2B0243DE2B974577FDAFE502BBEDA95737E343BA8588DD4034BDF1227E76D514E740EF011F1AN2H7C" TargetMode = "External"/>
	<Relationship Id="rId46" Type="http://schemas.openxmlformats.org/officeDocument/2006/relationships/hyperlink" Target="consultantplus://offline/ref=2BA8FAB5255E57FEC77963FA1862F1C4F71D2B0243DE2B974577FDAFE502BBEDA95737E040B1D1D09A1E6DEDB6697374C808E741NFH2C" TargetMode = "External"/>
	<Relationship Id="rId47" Type="http://schemas.openxmlformats.org/officeDocument/2006/relationships/hyperlink" Target="consultantplus://offline/ref=2BA8FAB5255E57FEC77963FA1862F1C4F71D2B0243DE2B974577FDAFE502BBEDA95737E343BA8588DA4034BDF1227E76D514E740EF011F1AN2H7C" TargetMode = "External"/>
	<Relationship Id="rId48" Type="http://schemas.openxmlformats.org/officeDocument/2006/relationships/hyperlink" Target="consultantplus://offline/ref=2BA8FAB5255E57FEC77963FA1862F1C4F71D2B0243DE2B974577FDAFE502BBEDA95737E048EED4C58B4661EFAB777069D40AE5N4H0C" TargetMode = "External"/>
	<Relationship Id="rId49" Type="http://schemas.openxmlformats.org/officeDocument/2006/relationships/hyperlink" Target="consultantplus://offline/ref=2BA8FAB5255E57FEC77963FA1862F1C4F0172E0742DF2B974577FDAFE502BBEDBB576FEF42B99B81DD5562ECB7N7H4C" TargetMode = "External"/>
	<Relationship Id="rId50" Type="http://schemas.openxmlformats.org/officeDocument/2006/relationships/hyperlink" Target="consultantplus://offline/ref=2BA8FAB5255E57FEC77963FA1862F1C4F0172E0742DF2B974577FDAFE502BBEDA95737E343BA8783DB4034BDF1227E76D514E740EF011F1AN2H7C" TargetMode = "External"/>
	<Relationship Id="rId51" Type="http://schemas.openxmlformats.org/officeDocument/2006/relationships/hyperlink" Target="consultantplus://offline/ref=2BA8FAB5255E57FEC77963FA1862F1C4F0172E0742DF2B974577FDAFE502BBEDA95737E343BA8086DF4034BDF1227E76D514E740EF011F1AN2H7C" TargetMode = "External"/>
	<Relationship Id="rId52" Type="http://schemas.openxmlformats.org/officeDocument/2006/relationships/hyperlink" Target="consultantplus://offline/ref=2BA8FAB5255E57FEC77963FA1862F1C4F014290041D12B974577FDAFE502BBEDA95737E343BA8581DB4034BDF1227E76D514E740EF011F1AN2H7C" TargetMode = "External"/>
	<Relationship Id="rId53" Type="http://schemas.openxmlformats.org/officeDocument/2006/relationships/hyperlink" Target="consultantplus://offline/ref=2BA8FAB5255E57FEC77963FA1862F1C4F0172E0742DF2B974577FDAFE502BBEDA95737E343BB8486D84034BDF1227E76D514E740EF011F1AN2H7C" TargetMode = "External"/>
	<Relationship Id="rId54" Type="http://schemas.openxmlformats.org/officeDocument/2006/relationships/hyperlink" Target="consultantplus://offline/ref=2BA8FAB5255E57FEC77963FA1862F1C4F0172E0742DF2B974577FDAFE502BBEDA95737E343BA8C85DC4034BDF1227E76D514E740EF011F1AN2H7C" TargetMode = "External"/>
	<Relationship Id="rId55" Type="http://schemas.openxmlformats.org/officeDocument/2006/relationships/hyperlink" Target="consultantplus://offline/ref=2BA8FAB5255E57FEC77963FA1862F1C4F0172E0742DF2B974577FDAFE502BBEDA95737E343BA8183DD4034BDF1227E76D514E740EF011F1AN2H7C" TargetMode = "External"/>
	<Relationship Id="rId56" Type="http://schemas.openxmlformats.org/officeDocument/2006/relationships/hyperlink" Target="consultantplus://offline/ref=2BA8FAB5255E57FEC77963FA1862F1C4F0172E0742DF2B974577FDAFE502BBEDA95737E343BA8187D64034BDF1227E76D514E740EF011F1AN2H7C" TargetMode = "External"/>
	<Relationship Id="rId57" Type="http://schemas.openxmlformats.org/officeDocument/2006/relationships/hyperlink" Target="consultantplus://offline/ref=2BA8FAB5255E57FEC77963FA1862F1C4F0162A074AD02B974577FDAFE502BBEDBB576FEF42B99B81DD5562ECB7N7H4C" TargetMode = "External"/>
	<Relationship Id="rId58" Type="http://schemas.openxmlformats.org/officeDocument/2006/relationships/hyperlink" Target="consultantplus://offline/ref=2BA8FAB5255E57FEC77963FA1862F1C4F0172E0041D52B974577FDAFE502BBEDBB576FEF42B99B81DD5562ECB7N7H4C" TargetMode = "External"/>
	<Relationship Id="rId59" Type="http://schemas.openxmlformats.org/officeDocument/2006/relationships/hyperlink" Target="consultantplus://offline/ref=2BA8FAB5255E57FEC77963FA1862F1C4F0172E0742DF2B974577FDAFE502BBEDBB576FEF42B99B81DD5562ECB7N7H4C" TargetMode = "External"/>
	<Relationship Id="rId60" Type="http://schemas.openxmlformats.org/officeDocument/2006/relationships/hyperlink" Target="consultantplus://offline/ref=2BA8FAB5255E57FEC77963FA1862F1C4F0172E0742DF2B974577FDAFE502BBEDA95737E343BA8183DD4034BDF1227E76D514E740EF011F1AN2H7C" TargetMode = "External"/>
	<Relationship Id="rId61" Type="http://schemas.openxmlformats.org/officeDocument/2006/relationships/hyperlink" Target="consultantplus://offline/ref=2BA8FAB5255E57FEC77963FA1862F1C4F0172E0742DF2B974577FDAFE502BBEDA95737E343BA8187D64034BDF1227E76D514E740EF011F1AN2H7C" TargetMode = "External"/>
	<Relationship Id="rId62" Type="http://schemas.openxmlformats.org/officeDocument/2006/relationships/hyperlink" Target="consultantplus://offline/ref=2BA8FAB5255E57FEC77963FA1862F1C4F0152D0147D72B974577FDAFE502BBEDA95737E343BA8580DE4034BDF1227E76D514E740EF011F1AN2H7C" TargetMode = "External"/>
	<Relationship Id="rId63" Type="http://schemas.openxmlformats.org/officeDocument/2006/relationships/image" Target="media/image2.wmf"/>
	<Relationship Id="rId64" Type="http://schemas.openxmlformats.org/officeDocument/2006/relationships/hyperlink" Target="consultantplus://offline/ref=2BA8FAB5255E57FEC77963FA1862F1C4F0152D0147D72B974577FDAFE502BBEDA95737E343BA8583DE4034BDF1227E76D514E740EF011F1AN2H7C" TargetMode = "External"/>
	<Relationship Id="rId65" Type="http://schemas.openxmlformats.org/officeDocument/2006/relationships/hyperlink" Target="consultantplus://offline/ref=2BA8FAB5255E57FEC77963FA1862F1C4F0152D0147D72B974577FDAFE502BBEDA95737E343BA8583DE4034BDF1227E76D514E740EF011F1AN2H7C" TargetMode = "External"/>
	<Relationship Id="rId66" Type="http://schemas.openxmlformats.org/officeDocument/2006/relationships/hyperlink" Target="consultantplus://offline/ref=2BA8FAB5255E57FEC77963FA1862F1C4F0112C0343D42B974577FDAFE502BBEDA95737E04ABC838A8A1A24B9B8767069D609F941F101N1HCC" TargetMode = "External"/>
	<Relationship Id="rId67" Type="http://schemas.openxmlformats.org/officeDocument/2006/relationships/hyperlink" Target="consultantplus://offline/ref=2BA8FAB5255E57FEC77963FA1862F1C4F0112C0343D42B974577FDAFE502BBEDA95737E04ABC838A8A1A24B9B8767069D609F941F101N1HCC" TargetMode = "External"/>
	<Relationship Id="rId68" Type="http://schemas.openxmlformats.org/officeDocument/2006/relationships/hyperlink" Target="consultantplus://offline/ref=2BA8FAB5255E57FEC77963FA1862F1C4F0112C0343D42B974577FDAFE502BBEDA95737E04ABC838A8A1A24B9B8767069D609F941F101N1HC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29.06.2021 N 1053
(ред. от 20.04.2022)
"Об утверждении Положения о федеральном государственном метрологическом контроле (надзоре) и о признании утратившими силу некоторых актов Правительства Российской Федерации"</dc:title>
  <dcterms:created xsi:type="dcterms:W3CDTF">2023-03-13T02:07:13Z</dcterms:created>
</cp:coreProperties>
</file>